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12E38">
      <w:pPr>
        <w:pStyle w:val="2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eastAsia="en-US"/>
        </w:rPr>
        <w:t xml:space="preserve">ИЗВЕЩЕНИЕ О ПРОВЕДЕНИИ  АУКЦИОНА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14:paraId="1956C13C">
      <w:pPr>
        <w:pStyle w:val="2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14:paraId="303FE430">
      <w:pPr>
        <w:pStyle w:val="21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1C14A">
      <w:pPr>
        <w:pStyle w:val="21"/>
        <w:ind w:firstLine="709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szCs w:val="24"/>
          <w:lang w:eastAsia="ar-SA"/>
        </w:rPr>
        <w:t xml:space="preserve">Организатор аукциона </w:t>
      </w:r>
      <w:r>
        <w:rPr>
          <w:rFonts w:ascii="Times New Roman" w:hAnsi="Times New Roman" w:eastAsia="Calibri" w:cs="Times New Roman"/>
          <w:sz w:val="24"/>
          <w:szCs w:val="24"/>
          <w:lang w:eastAsia="ar-SA"/>
        </w:rPr>
        <w:t>(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уполномоченный орган</w:t>
      </w:r>
      <w:r>
        <w:rPr>
          <w:rFonts w:ascii="Times New Roman" w:hAnsi="Times New Roman" w:eastAsia="Calibri" w:cs="Times New Roman"/>
          <w:sz w:val="24"/>
          <w:szCs w:val="24"/>
          <w:lang w:eastAsia="ar-SA"/>
        </w:rPr>
        <w:t xml:space="preserve">):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Республики Алтай.</w:t>
      </w:r>
    </w:p>
    <w:p w14:paraId="1000F440">
      <w:pPr>
        <w:pStyle w:val="21"/>
        <w:ind w:firstLine="709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</w:p>
    <w:p w14:paraId="0FA6EFDA">
      <w:pPr>
        <w:ind w:firstLine="709"/>
        <w:jc w:val="both"/>
        <w:rPr>
          <w:rFonts w:hint="default"/>
          <w:sz w:val="24"/>
          <w:szCs w:val="24"/>
          <w:lang w:val="ru-RU"/>
        </w:rPr>
      </w:pPr>
      <w:r>
        <w:rPr>
          <w:rFonts w:eastAsia="Calibri"/>
          <w:b/>
          <w:sz w:val="24"/>
          <w:szCs w:val="24"/>
          <w:lang w:eastAsia="ar-SA"/>
        </w:rPr>
        <w:t>Реквизиты решения о проведении аукциона:</w:t>
      </w:r>
      <w:r>
        <w:rPr>
          <w:rFonts w:eastAsia="Calibri"/>
          <w:sz w:val="24"/>
          <w:szCs w:val="24"/>
          <w:lang w:eastAsia="ar-SA"/>
        </w:rPr>
        <w:t xml:space="preserve"> постановление а</w:t>
      </w:r>
      <w:r>
        <w:rPr>
          <w:sz w:val="24"/>
          <w:szCs w:val="24"/>
        </w:rPr>
        <w:t>дминистрации МО «Усть-Коксинский район» от</w:t>
      </w:r>
      <w:r>
        <w:rPr>
          <w:rFonts w:hint="default"/>
          <w:sz w:val="24"/>
          <w:szCs w:val="24"/>
          <w:lang w:val="ru-RU"/>
        </w:rPr>
        <w:t xml:space="preserve"> 09.07.</w:t>
      </w:r>
      <w:r>
        <w:rPr>
          <w:sz w:val="24"/>
          <w:szCs w:val="24"/>
        </w:rPr>
        <w:t xml:space="preserve">2025 г. № </w:t>
      </w:r>
      <w:r>
        <w:rPr>
          <w:rFonts w:hint="default"/>
          <w:sz w:val="24"/>
          <w:szCs w:val="24"/>
          <w:lang w:val="ru-RU"/>
        </w:rPr>
        <w:t>461/1</w:t>
      </w:r>
    </w:p>
    <w:p w14:paraId="124C454E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14:paraId="130B8347">
      <w:pPr>
        <w:pStyle w:val="21"/>
        <w:ind w:firstLine="709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</w:p>
    <w:p w14:paraId="3BB7E846">
      <w:pPr>
        <w:pStyle w:val="2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56A916">
      <w:pPr>
        <w:pStyle w:val="16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b/>
          <w:sz w:val="24"/>
          <w:szCs w:val="24"/>
        </w:rPr>
        <w:t>Д</w:t>
      </w:r>
      <w:r>
        <w:rPr>
          <w:rFonts w:eastAsia="Calibri"/>
          <w:b/>
          <w:sz w:val="24"/>
          <w:szCs w:val="24"/>
          <w:lang w:eastAsia="en-US"/>
        </w:rPr>
        <w:t>ата проведения аукциона</w:t>
      </w:r>
      <w:r>
        <w:rPr>
          <w:rFonts w:eastAsia="Calibri"/>
          <w:sz w:val="24"/>
          <w:szCs w:val="24"/>
          <w:lang w:eastAsia="en-US"/>
        </w:rPr>
        <w:t xml:space="preserve">: </w:t>
      </w:r>
      <w:r>
        <w:rPr>
          <w:rFonts w:hint="default" w:eastAsia="Calibri"/>
          <w:sz w:val="24"/>
          <w:szCs w:val="24"/>
          <w:shd w:val="clear" w:color="auto" w:fill="CCC0D9" w:themeFill="accent4" w:themeFillTint="66"/>
          <w:lang w:val="ru-RU" w:eastAsia="en-US"/>
        </w:rPr>
        <w:t xml:space="preserve">08 августа </w:t>
      </w:r>
      <w:r>
        <w:rPr>
          <w:rFonts w:eastAsia="Calibri"/>
          <w:sz w:val="24"/>
          <w:szCs w:val="24"/>
          <w:shd w:val="clear" w:color="auto" w:fill="CCC0D9" w:themeFill="accent4" w:themeFillTint="66"/>
          <w:lang w:eastAsia="en-US"/>
        </w:rPr>
        <w:t xml:space="preserve">2025 г. </w:t>
      </w:r>
    </w:p>
    <w:p w14:paraId="2CA17ACC">
      <w:pPr>
        <w:pStyle w:val="16"/>
        <w:ind w:left="0" w:firstLine="709"/>
        <w:jc w:val="both"/>
        <w:rPr>
          <w:rFonts w:eastAsia="Calibri"/>
          <w:sz w:val="24"/>
          <w:szCs w:val="24"/>
          <w:lang w:eastAsia="en-US"/>
        </w:rPr>
      </w:pPr>
    </w:p>
    <w:p w14:paraId="49F0BABA">
      <w:pPr>
        <w:pStyle w:val="16"/>
        <w:ind w:left="0" w:firstLine="709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Время проведения аукциона</w:t>
      </w:r>
      <w:r>
        <w:rPr>
          <w:rFonts w:eastAsia="Calibri"/>
          <w:sz w:val="24"/>
          <w:szCs w:val="24"/>
          <w:lang w:eastAsia="en-US"/>
        </w:rPr>
        <w:t>: 11:00 часов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</w:p>
    <w:p w14:paraId="33384A83">
      <w:pPr>
        <w:pStyle w:val="16"/>
        <w:ind w:left="0" w:firstLine="709"/>
        <w:jc w:val="both"/>
        <w:rPr>
          <w:rFonts w:eastAsia="Calibri"/>
          <w:b/>
          <w:sz w:val="24"/>
          <w:szCs w:val="24"/>
          <w:lang w:eastAsia="en-US"/>
        </w:rPr>
      </w:pPr>
    </w:p>
    <w:p w14:paraId="118F4E5F">
      <w:pPr>
        <w:pStyle w:val="16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Время регистрации участников аукциона: </w:t>
      </w:r>
      <w:bookmarkStart w:id="0" w:name="_Hlk173245599"/>
      <w:r>
        <w:rPr>
          <w:rFonts w:eastAsia="Calibri"/>
          <w:sz w:val="24"/>
          <w:szCs w:val="24"/>
          <w:lang w:eastAsia="en-US"/>
        </w:rPr>
        <w:t>с 10:00 часов до 10:30 часов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bookmarkEnd w:id="0"/>
      <w:r>
        <w:rPr>
          <w:rFonts w:eastAsia="Calibri"/>
          <w:sz w:val="24"/>
          <w:szCs w:val="24"/>
          <w:lang w:eastAsia="en-US"/>
        </w:rPr>
        <w:t>в день проведения аукциона.</w:t>
      </w:r>
    </w:p>
    <w:p w14:paraId="41BE50A1">
      <w:pPr>
        <w:pStyle w:val="16"/>
        <w:ind w:left="0" w:firstLine="709"/>
        <w:jc w:val="both"/>
        <w:rPr>
          <w:rFonts w:eastAsia="Calibri"/>
          <w:b/>
          <w:sz w:val="24"/>
          <w:szCs w:val="24"/>
          <w:u w:val="single"/>
          <w:lang w:eastAsia="en-US"/>
        </w:rPr>
      </w:pPr>
    </w:p>
    <w:p w14:paraId="3D27FA38">
      <w:pPr>
        <w:pStyle w:val="2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Республика Алтай, Усть-Коксинский район, с. Усть-Кокса, ул. Харитошкина, 6, отдел архитектуры и земельных отношений администрации МО «Усть-Коксинский район».</w:t>
      </w:r>
    </w:p>
    <w:p w14:paraId="41B705FE">
      <w:pPr>
        <w:pStyle w:val="2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3338A4">
      <w:pPr>
        <w:pStyle w:val="16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Дата и время начала и окончания приёма заявок на участие в аукционе</w:t>
      </w:r>
      <w:r>
        <w:rPr>
          <w:rFonts w:eastAsia="Calibri"/>
          <w:sz w:val="24"/>
          <w:szCs w:val="24"/>
          <w:lang w:eastAsia="en-US"/>
        </w:rPr>
        <w:t xml:space="preserve">: </w:t>
      </w:r>
    </w:p>
    <w:p w14:paraId="26FE722D">
      <w:pPr>
        <w:pStyle w:val="1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E5DFEC" w:themeFill="accent4" w:themeFillTint="33"/>
        </w:rPr>
        <w:t xml:space="preserve">- с </w:t>
      </w:r>
      <w:r>
        <w:rPr>
          <w:rFonts w:hint="default"/>
          <w:sz w:val="24"/>
          <w:szCs w:val="24"/>
          <w:shd w:val="clear" w:color="auto" w:fill="E5DFEC" w:themeFill="accent4" w:themeFillTint="33"/>
          <w:lang w:val="ru-RU"/>
        </w:rPr>
        <w:t>28</w:t>
      </w:r>
      <w:r>
        <w:rPr>
          <w:sz w:val="24"/>
          <w:szCs w:val="24"/>
          <w:shd w:val="clear" w:color="auto" w:fill="E5DFEC" w:themeFill="accent4" w:themeFillTint="33"/>
        </w:rPr>
        <w:t xml:space="preserve"> </w:t>
      </w:r>
      <w:r>
        <w:rPr>
          <w:sz w:val="24"/>
          <w:szCs w:val="24"/>
          <w:shd w:val="clear" w:color="auto" w:fill="E5DFEC" w:themeFill="accent4" w:themeFillTint="33"/>
          <w:lang w:val="ru-RU"/>
        </w:rPr>
        <w:t>июля</w:t>
      </w:r>
      <w:r>
        <w:rPr>
          <w:rFonts w:hint="default"/>
          <w:sz w:val="24"/>
          <w:szCs w:val="24"/>
          <w:shd w:val="clear" w:color="auto" w:fill="E5DFEC" w:themeFill="accent4" w:themeFillTint="33"/>
          <w:lang w:val="ru-RU"/>
        </w:rPr>
        <w:t xml:space="preserve"> </w:t>
      </w:r>
      <w:r>
        <w:rPr>
          <w:sz w:val="24"/>
          <w:szCs w:val="24"/>
          <w:shd w:val="clear" w:color="auto" w:fill="E5DFEC" w:themeFill="accent4" w:themeFillTint="33"/>
        </w:rPr>
        <w:t xml:space="preserve">2025 г.  по </w:t>
      </w:r>
      <w:r>
        <w:rPr>
          <w:rFonts w:hint="default"/>
          <w:sz w:val="24"/>
          <w:szCs w:val="24"/>
          <w:shd w:val="clear" w:color="auto" w:fill="E5DFEC" w:themeFill="accent4" w:themeFillTint="33"/>
          <w:lang w:val="ru-RU"/>
        </w:rPr>
        <w:t xml:space="preserve">5 августа </w:t>
      </w:r>
      <w:r>
        <w:rPr>
          <w:sz w:val="24"/>
          <w:szCs w:val="24"/>
          <w:shd w:val="clear" w:color="auto" w:fill="E5DFEC" w:themeFill="accent4" w:themeFillTint="33"/>
        </w:rPr>
        <w:t>2025 г.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(включительно);</w:t>
      </w:r>
    </w:p>
    <w:p w14:paraId="4A1101C8">
      <w:pPr>
        <w:pStyle w:val="16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- с 9:00 часов до 17:00</w:t>
      </w:r>
      <w:r>
        <w:rPr>
          <w:sz w:val="24"/>
          <w:szCs w:val="24"/>
          <w:vertAlign w:val="superscript"/>
        </w:rPr>
        <w:t xml:space="preserve"> </w:t>
      </w:r>
      <w:r>
        <w:rPr>
          <w:rFonts w:eastAsia="Calibri"/>
          <w:sz w:val="24"/>
          <w:szCs w:val="24"/>
          <w:lang w:eastAsia="en-US"/>
        </w:rPr>
        <w:t>часов;</w:t>
      </w:r>
    </w:p>
    <w:p w14:paraId="256DBE56">
      <w:pPr>
        <w:pStyle w:val="16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- в приемные дни: понедельник, среда.</w:t>
      </w:r>
    </w:p>
    <w:p w14:paraId="6D9829EB">
      <w:pPr>
        <w:pStyle w:val="16"/>
        <w:ind w:left="0" w:firstLine="709"/>
        <w:jc w:val="both"/>
        <w:rPr>
          <w:rFonts w:eastAsia="Calibri"/>
          <w:b/>
          <w:sz w:val="24"/>
          <w:szCs w:val="24"/>
          <w:lang w:eastAsia="en-US"/>
        </w:rPr>
      </w:pPr>
    </w:p>
    <w:p w14:paraId="332B7BB6">
      <w:pPr>
        <w:pStyle w:val="16"/>
        <w:shd w:val="clear" w:color="auto" w:fill="E5DFEC" w:themeFill="accent4" w:themeFillTint="33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Дата и время рассмотрения заявок и </w:t>
      </w:r>
      <w:r>
        <w:rPr>
          <w:rFonts w:eastAsia="Calibri"/>
          <w:b/>
          <w:sz w:val="24"/>
          <w:szCs w:val="24"/>
          <w:shd w:val="clear" w:color="auto" w:fill="FFFFFF" w:themeFill="background1"/>
          <w:lang w:eastAsia="en-US"/>
        </w:rPr>
        <w:t>признания заявителей участниками аукциона</w:t>
      </w:r>
      <w:r>
        <w:rPr>
          <w:rFonts w:eastAsia="Calibri"/>
          <w:b/>
          <w:sz w:val="24"/>
          <w:szCs w:val="24"/>
          <w:lang w:eastAsia="en-US"/>
        </w:rPr>
        <w:t>: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14:paraId="7E2BB3A4">
      <w:pPr>
        <w:pStyle w:val="16"/>
        <w:shd w:val="clear" w:color="auto" w:fill="E5DFEC" w:themeFill="accent4" w:themeFillTint="33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hint="default"/>
          <w:sz w:val="24"/>
          <w:szCs w:val="24"/>
          <w:shd w:val="clear" w:color="auto" w:fill="E5DFEC" w:themeFill="accent4" w:themeFillTint="33"/>
          <w:lang w:val="ru-RU"/>
        </w:rPr>
        <w:t>07</w:t>
      </w:r>
      <w:bookmarkStart w:id="4" w:name="_GoBack"/>
      <w:bookmarkEnd w:id="4"/>
      <w:r>
        <w:rPr>
          <w:rFonts w:hint="default"/>
          <w:sz w:val="24"/>
          <w:szCs w:val="24"/>
          <w:shd w:val="clear" w:color="auto" w:fill="E5DFEC" w:themeFill="accent4" w:themeFillTint="33"/>
          <w:lang w:val="ru-RU"/>
        </w:rPr>
        <w:t xml:space="preserve"> августа </w:t>
      </w:r>
      <w:r>
        <w:rPr>
          <w:sz w:val="24"/>
          <w:szCs w:val="24"/>
          <w:shd w:val="clear" w:color="auto" w:fill="E5DFEC" w:themeFill="accent4" w:themeFillTint="33"/>
        </w:rPr>
        <w:t>2025 г.</w:t>
      </w:r>
      <w:r>
        <w:rPr>
          <w:sz w:val="24"/>
          <w:szCs w:val="24"/>
        </w:rPr>
        <w:t xml:space="preserve">, </w:t>
      </w:r>
      <w:r>
        <w:rPr>
          <w:rFonts w:eastAsia="Calibri"/>
          <w:sz w:val="24"/>
          <w:szCs w:val="24"/>
          <w:lang w:eastAsia="en-US"/>
        </w:rPr>
        <w:t>в 14:00 часов.</w:t>
      </w:r>
    </w:p>
    <w:p w14:paraId="6D97A8F0">
      <w:pPr>
        <w:pStyle w:val="16"/>
        <w:ind w:left="0" w:firstLine="709"/>
        <w:jc w:val="both"/>
        <w:rPr>
          <w:rFonts w:eastAsia="Calibri"/>
          <w:sz w:val="24"/>
          <w:szCs w:val="24"/>
          <w:lang w:eastAsia="en-US"/>
        </w:rPr>
      </w:pPr>
    </w:p>
    <w:p w14:paraId="6E3903E2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>
        <w:rPr>
          <w:rFonts w:ascii="Times New Roman" w:hAnsi="Times New Roman" w:cs="Times New Roman"/>
          <w:sz w:val="24"/>
          <w:szCs w:val="24"/>
        </w:rPr>
        <w:t xml:space="preserve">в силу п. 10 статьи 39.11 Земельного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z w:val="24"/>
          <w:szCs w:val="24"/>
        </w:rPr>
        <w:t>одекса Российской Федерации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(в редакции, действовавшей на дату размещения извещения в порядке ст.39.18 ЗК РФ)</w:t>
      </w:r>
      <w:r>
        <w:rPr>
          <w:rFonts w:ascii="Times New Roman" w:hAnsi="Times New Roman" w:cs="Times New Roman"/>
          <w:sz w:val="24"/>
          <w:szCs w:val="24"/>
        </w:rPr>
        <w:t xml:space="preserve"> участниками аукциона могут быть только граждане (осуществляющие предпринимательскую деятельность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качестве главы крестьянского (фермерского) хозяйства, </w:t>
      </w:r>
      <w:r>
        <w:rPr>
          <w:rFonts w:ascii="Times New Roman" w:hAnsi="Times New Roman" w:cs="Times New Roman"/>
          <w:sz w:val="24"/>
          <w:szCs w:val="24"/>
        </w:rPr>
        <w:t>без образования юридического лица), либо крестьянские (фермерские) хозяйства.</w:t>
      </w:r>
    </w:p>
    <w:p w14:paraId="1C56E951">
      <w:pPr>
        <w:pStyle w:val="2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3C2DFA">
      <w:pPr>
        <w:shd w:val="clear" w:color="auto" w:fill="FFFFFF" w:themeFill="background1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Информация о предмете аукциона: </w:t>
      </w:r>
    </w:p>
    <w:p w14:paraId="2F12D195">
      <w:pPr>
        <w:shd w:val="clear" w:color="auto" w:fill="FFFFFF" w:themeFill="background1"/>
        <w:ind w:firstLine="709"/>
        <w:jc w:val="both"/>
        <w:rPr>
          <w:b/>
          <w:bCs/>
          <w:sz w:val="24"/>
          <w:szCs w:val="24"/>
        </w:rPr>
      </w:pPr>
    </w:p>
    <w:p w14:paraId="77F7B4B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bookmarkStart w:id="1" w:name="_Hlk194619293"/>
      <w:r>
        <w:rPr>
          <w:b/>
          <w:sz w:val="24"/>
          <w:szCs w:val="24"/>
        </w:rPr>
        <w:t>Лот № 1</w:t>
      </w:r>
      <w:r>
        <w:rPr>
          <w:bCs/>
          <w:sz w:val="24"/>
          <w:szCs w:val="24"/>
        </w:rPr>
        <w:t xml:space="preserve"> - право на заключение договора аренды </w:t>
      </w:r>
      <w:r>
        <w:rPr>
          <w:sz w:val="24"/>
          <w:szCs w:val="24"/>
        </w:rPr>
        <w:t xml:space="preserve">земельного участка, </w:t>
      </w:r>
      <w:r>
        <w:rPr>
          <w:bCs/>
          <w:sz w:val="24"/>
          <w:szCs w:val="24"/>
          <w:shd w:val="clear" w:color="auto" w:fill="FFFFFF"/>
        </w:rPr>
        <w:t xml:space="preserve">сроком </w:t>
      </w:r>
      <w:r>
        <w:rPr>
          <w:bCs/>
          <w:sz w:val="24"/>
          <w:szCs w:val="24"/>
          <w:shd w:val="clear" w:color="auto" w:fill="FFFFFF"/>
          <w:lang w:val="ru-RU"/>
        </w:rPr>
        <w:t>в</w:t>
      </w:r>
      <w:r>
        <w:rPr>
          <w:rFonts w:hint="default"/>
          <w:bCs/>
          <w:sz w:val="24"/>
          <w:szCs w:val="24"/>
          <w:shd w:val="clear" w:color="auto" w:fill="FFFFFF"/>
          <w:lang w:val="ru-RU"/>
        </w:rPr>
        <w:t xml:space="preserve"> 10</w:t>
      </w:r>
      <w:r>
        <w:rPr>
          <w:bCs/>
          <w:sz w:val="24"/>
          <w:szCs w:val="24"/>
          <w:shd w:val="clear" w:color="auto" w:fill="FFFFFF"/>
        </w:rPr>
        <w:t xml:space="preserve"> лет,</w:t>
      </w:r>
      <w:r>
        <w:rPr>
          <w:bCs/>
          <w:sz w:val="24"/>
          <w:szCs w:val="24"/>
        </w:rPr>
        <w:t xml:space="preserve"> относящегося к категории земель </w:t>
      </w:r>
      <w:r>
        <w:rPr>
          <w:bCs/>
          <w:sz w:val="24"/>
          <w:szCs w:val="24"/>
          <w:lang w:val="ru-RU"/>
        </w:rPr>
        <w:t>сельскохозяйственного</w:t>
      </w:r>
      <w:r>
        <w:rPr>
          <w:rFonts w:hint="default"/>
          <w:bCs/>
          <w:sz w:val="24"/>
          <w:szCs w:val="24"/>
          <w:lang w:val="ru-RU"/>
        </w:rPr>
        <w:t xml:space="preserve"> назначения</w:t>
      </w:r>
      <w:r>
        <w:rPr>
          <w:bCs/>
          <w:sz w:val="24"/>
          <w:szCs w:val="24"/>
        </w:rPr>
        <w:t>, с кадастровым номером 04:08:</w:t>
      </w:r>
      <w:r>
        <w:rPr>
          <w:rFonts w:hint="default"/>
          <w:bCs/>
          <w:sz w:val="24"/>
          <w:szCs w:val="24"/>
          <w:lang w:val="ru-RU"/>
        </w:rPr>
        <w:t>000000:913</w:t>
      </w:r>
      <w:r>
        <w:rPr>
          <w:bCs/>
          <w:sz w:val="24"/>
          <w:szCs w:val="24"/>
        </w:rPr>
        <w:t xml:space="preserve">, площадью </w:t>
      </w:r>
      <w:r>
        <w:rPr>
          <w:rFonts w:hint="default"/>
          <w:bCs/>
          <w:sz w:val="24"/>
          <w:szCs w:val="24"/>
          <w:lang w:val="ru-RU"/>
        </w:rPr>
        <w:t xml:space="preserve">158 916 </w:t>
      </w:r>
      <w:r>
        <w:rPr>
          <w:bCs/>
          <w:sz w:val="24"/>
          <w:szCs w:val="24"/>
        </w:rPr>
        <w:t xml:space="preserve">кв. м, </w:t>
      </w:r>
      <w:r>
        <w:rPr>
          <w:bCs/>
          <w:sz w:val="24"/>
          <w:szCs w:val="24"/>
          <w:lang w:val="ru-RU"/>
        </w:rPr>
        <w:t>с</w:t>
      </w:r>
      <w:r>
        <w:rPr>
          <w:rFonts w:hint="default"/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</w:rPr>
        <w:t>местоположение</w:t>
      </w:r>
      <w:r>
        <w:rPr>
          <w:bCs/>
          <w:sz w:val="24"/>
          <w:szCs w:val="24"/>
          <w:lang w:val="ru-RU"/>
        </w:rPr>
        <w:t>м</w:t>
      </w:r>
      <w:r>
        <w:rPr>
          <w:bCs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Республика Алтай, Усть-Коксинский район, </w:t>
      </w:r>
      <w:r>
        <w:rPr>
          <w:b/>
          <w:sz w:val="24"/>
          <w:szCs w:val="24"/>
          <w:lang w:val="ru-RU"/>
        </w:rPr>
        <w:t>Амурское</w:t>
      </w:r>
      <w:r>
        <w:rPr>
          <w:rFonts w:hint="default"/>
          <w:b/>
          <w:sz w:val="24"/>
          <w:szCs w:val="24"/>
          <w:lang w:val="ru-RU"/>
        </w:rPr>
        <w:t xml:space="preserve"> сельское поселение</w:t>
      </w:r>
      <w:r>
        <w:rPr>
          <w:bCs/>
          <w:sz w:val="24"/>
          <w:szCs w:val="24"/>
        </w:rPr>
        <w:t xml:space="preserve">, с разрешённым использованием: </w:t>
      </w:r>
      <w:r>
        <w:rPr>
          <w:bCs/>
          <w:sz w:val="24"/>
          <w:szCs w:val="24"/>
          <w:lang w:val="ru-RU"/>
        </w:rPr>
        <w:t>сельскохозяйственное</w:t>
      </w:r>
      <w:r>
        <w:rPr>
          <w:rFonts w:hint="default"/>
          <w:bCs/>
          <w:sz w:val="24"/>
          <w:szCs w:val="24"/>
          <w:lang w:val="ru-RU"/>
        </w:rPr>
        <w:t xml:space="preserve"> использование</w:t>
      </w:r>
      <w:r>
        <w:rPr>
          <w:bCs/>
          <w:sz w:val="24"/>
          <w:szCs w:val="24"/>
        </w:rPr>
        <w:t>.</w:t>
      </w:r>
    </w:p>
    <w:p w14:paraId="26812BE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Сведения о правах</w:t>
      </w:r>
      <w:r>
        <w:rPr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20AD0CA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Сведения об ограничениях права</w:t>
      </w:r>
      <w:r>
        <w:rPr>
          <w:bCs/>
          <w:sz w:val="24"/>
          <w:szCs w:val="24"/>
        </w:rPr>
        <w:t xml:space="preserve"> </w:t>
      </w:r>
      <w:r>
        <w:rPr>
          <w:rFonts w:hint="default"/>
          <w:bCs/>
          <w:sz w:val="24"/>
          <w:szCs w:val="24"/>
          <w:lang w:val="ru-RU"/>
        </w:rPr>
        <w:t>-</w:t>
      </w:r>
      <w:r>
        <w:rPr>
          <w:bCs/>
          <w:sz w:val="24"/>
          <w:szCs w:val="24"/>
        </w:rPr>
        <w:t>.</w:t>
      </w:r>
    </w:p>
    <w:p w14:paraId="4C184B2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>Сведения о максимально и (или) минимально допустимых параметрах разрешенного строительства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b/>
          <w:sz w:val="24"/>
          <w:szCs w:val="24"/>
          <w:lang w:eastAsia="en-US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: в соответствии с Правилами землепользования и застройки </w:t>
      </w:r>
      <w:r>
        <w:rPr>
          <w:rFonts w:eastAsia="Calibri" w:cs="Times New Roman"/>
          <w:sz w:val="24"/>
          <w:szCs w:val="24"/>
          <w:lang w:val="ru-RU" w:eastAsia="en-US"/>
        </w:rPr>
        <w:t>Амурского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сельского поселения,  </w:t>
      </w:r>
      <w:r>
        <w:rPr>
          <w:rFonts w:ascii="Times New Roman" w:hAnsi="Times New Roman" w:cs="Times New Roman"/>
          <w:sz w:val="24"/>
          <w:szCs w:val="24"/>
        </w:rPr>
        <w:t xml:space="preserve">ч. 6 статьи 36 Градостроительного кодекса РФ, градостроительные регламенты не устанавливаются для земель сельскохозяйственных угодий в составе земель сельскохозяйственного назначения. Использование земельных участков, для которых градостроительные регламенты не устанавливаются, определяется уполномоченными органами в соответствии с федеральными законами. </w:t>
      </w:r>
    </w:p>
    <w:p w14:paraId="5AC6D66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>
        <w:rPr>
          <w:sz w:val="24"/>
          <w:szCs w:val="24"/>
        </w:rPr>
        <w:t xml:space="preserve">: </w:t>
      </w:r>
    </w:p>
    <w:p w14:paraId="191C7FD2">
      <w:pPr>
        <w:pStyle w:val="2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письмом МУП «ТепловодСтрой Сервис» возможность технологического присоединения к сетям </w:t>
      </w:r>
      <w:r>
        <w:rPr>
          <w:rFonts w:ascii="Times New Roman" w:hAnsi="Times New Roman" w:cs="Times New Roman"/>
          <w:sz w:val="24"/>
          <w:szCs w:val="24"/>
          <w:lang w:val="ru-RU"/>
        </w:rPr>
        <w:t>горячего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водоснабжения,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холодного водоснабжения,</w:t>
      </w:r>
      <w:r>
        <w:rPr>
          <w:rFonts w:ascii="Times New Roman" w:hAnsi="Times New Roman" w:cs="Times New Roman"/>
          <w:sz w:val="24"/>
          <w:szCs w:val="24"/>
        </w:rPr>
        <w:t xml:space="preserve"> теплоснабжения и водоотведения отсутствует.</w:t>
      </w:r>
    </w:p>
    <w:p w14:paraId="18D5A76C">
      <w:pPr>
        <w:pStyle w:val="21"/>
        <w:ind w:firstLine="567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 возможно.</w:t>
      </w:r>
    </w:p>
    <w:p w14:paraId="6E617F98">
      <w:pPr>
        <w:pStyle w:val="21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Сведения о дате размещения извещения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в соответствии с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"https://login.consultant.ru/link/?req=doc&amp;base=LAW&amp;n=483141&amp;dst=2788"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7"/>
          <w:rFonts w:hint="default" w:ascii="Times New Roman" w:hAnsi="Times New Roman" w:cs="Times New Roman"/>
          <w:bCs/>
          <w:sz w:val="24"/>
          <w:szCs w:val="24"/>
        </w:rPr>
        <w:t>подпунктом 1 пункта 1 статьи 39.18</w:t>
      </w:r>
      <w:r>
        <w:rPr>
          <w:rStyle w:val="7"/>
          <w:rFonts w:hint="default" w:ascii="Times New Roman" w:hAnsi="Times New Roman" w:cs="Times New Roman"/>
          <w:bCs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Кодекса: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14.06.2024 г., и</w:t>
      </w:r>
      <w:r>
        <w:rPr>
          <w:rFonts w:hint="default" w:ascii="Times New Roman" w:hAnsi="Times New Roman" w:cs="Times New Roman"/>
          <w:sz w:val="24"/>
          <w:szCs w:val="24"/>
        </w:rPr>
        <w:t>звещение № 22000014560000000134</w:t>
      </w:r>
      <w:r>
        <w:rPr>
          <w:rFonts w:hint="default" w:ascii="Times New Roman" w:hAnsi="Times New Roman" w:cs="Times New Roman"/>
          <w:bCs/>
          <w:sz w:val="24"/>
          <w:szCs w:val="24"/>
        </w:rPr>
        <w:t>.</w:t>
      </w:r>
    </w:p>
    <w:p w14:paraId="2D18816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Начальная цена предмета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аукциона (размера ежегодной арендной платы):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27 484,50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руб. </w:t>
      </w:r>
    </w:p>
    <w:p w14:paraId="202A2E3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Размер задатка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13 000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руб.</w:t>
      </w:r>
    </w:p>
    <w:p w14:paraId="0D3C5C0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Шаг аукциона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800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руб.</w:t>
      </w:r>
    </w:p>
    <w:p w14:paraId="2F6ED34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</w:p>
    <w:bookmarkEnd w:id="1"/>
    <w:p w14:paraId="2C595734">
      <w:pPr>
        <w:pStyle w:val="21"/>
        <w:ind w:firstLine="709"/>
        <w:jc w:val="both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  <w:t>Порядок вне</w:t>
      </w: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>сения и возврата задатка:</w:t>
      </w:r>
    </w:p>
    <w:p w14:paraId="695BB0F6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1848C4D1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</w:t>
      </w:r>
    </w:p>
    <w:p w14:paraId="05214445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69623A8B">
      <w:pPr>
        <w:pStyle w:val="21"/>
        <w:ind w:firstLine="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соглашения о задатке.</w:t>
      </w:r>
    </w:p>
    <w:p w14:paraId="45D9F3D9">
      <w:pPr>
        <w:pStyle w:val="21"/>
        <w:ind w:firstLine="709"/>
        <w:jc w:val="both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>Задаток вносится единым платежом в валюте Российской Федерации на следующие реквизиты:</w:t>
      </w:r>
    </w:p>
    <w:p w14:paraId="556CB69B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Финансовое управление Администрации МО Усть-Коксинский район РА (Администрация МО «Усть-Коксинский район» Республики Алтай л/с 05773004420), ИНН: 0406004214, КПП: 040601001, Расчётный счет: 03232643846400007700, Банк получателя: Отделение - НБ Республики Алтай г. Горно-Алтайск, БИК 018405033.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46A62BEE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68DDA5C8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1A2DE5AA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а) лицам, участвовавшим в аукционе, но не победившим в нём – в течение трёх рабочих дней со дня подписания протокола о результатах аукциона;</w:t>
      </w:r>
    </w:p>
    <w:p w14:paraId="6DD075D5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б) заявителям, не допущенным к участию в аукционе – в течение трёх рабочих дней со дня оформления протокола рассмотрения заявок на участие в аукционе;</w:t>
      </w:r>
    </w:p>
    <w:p w14:paraId="71456CBA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в) заявителям, отозвавшим заявку на участие в аукционе до дня окончания срока приёма заявок – в течение трёх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0F69219F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г) участникам аукциона – в течение трёх дней со дня принятия организатором аукциона решения об отказе в проведении аукциона.</w:t>
      </w:r>
    </w:p>
    <w:p w14:paraId="4F3B8297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0AC49E0A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п.п. 13, 14 или 20 ст. 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18552141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549D32F9">
      <w:pPr>
        <w:pStyle w:val="21"/>
        <w:ind w:firstLine="709"/>
        <w:jc w:val="both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D7748EB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01B6A791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14:paraId="5747152E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1) заявка на участие в аукционе по установленной в извещении о проведении аукциона форме (приложение к настоящему извещению) с указанием банковских реквизитов счета для возврата задатка;</w:t>
      </w:r>
    </w:p>
    <w:p w14:paraId="5D0465B2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0CBE424C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A020EE9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4) документы, подтверждающие внесение задатка.</w:t>
      </w:r>
    </w:p>
    <w:p w14:paraId="3C02EE6A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7BBABB51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2875190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57813664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3108B06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7CB21FD8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587CAA49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419DA66F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2) не поступление задатка на дату рассмотрения заявок на участие в аукционе;</w:t>
      </w:r>
    </w:p>
    <w:p w14:paraId="5806CA16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394539C3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3B84E5AA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276F0F7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</w:t>
      </w:r>
    </w:p>
    <w:p w14:paraId="6E8C26A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>
        <w:rPr>
          <w:rFonts w:eastAsiaTheme="minorHAnsi"/>
          <w:sz w:val="24"/>
          <w:szCs w:val="24"/>
          <w:lang w:eastAsia="en-US"/>
        </w:rPr>
        <w:t xml:space="preserve">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 </w:t>
      </w:r>
    </w:p>
    <w:p w14:paraId="6D90FF1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 участие в аукционе.</w:t>
      </w:r>
    </w:p>
    <w:p w14:paraId="52DD609F">
      <w:pPr>
        <w:pStyle w:val="21"/>
        <w:shd w:val="clear" w:color="auto" w:fill="FFFFFF" w:themeFill="background1"/>
        <w:ind w:firstLine="709"/>
        <w:jc w:val="both"/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pPr>
    </w:p>
    <w:p w14:paraId="4D4197C6">
      <w:pPr>
        <w:shd w:val="clear" w:color="auto" w:fill="FFFFFF" w:themeFill="background1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Порядок проведения аукциона</w:t>
      </w:r>
      <w:r>
        <w:rPr>
          <w:rFonts w:eastAsia="Calibri"/>
          <w:bCs/>
          <w:sz w:val="24"/>
          <w:szCs w:val="24"/>
          <w:lang w:eastAsia="en-US"/>
        </w:rPr>
        <w:t>:</w:t>
      </w:r>
    </w:p>
    <w:p w14:paraId="2A737654">
      <w:pPr>
        <w:shd w:val="clear" w:color="auto" w:fill="FFFFFF" w:themeFill="background1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</w:p>
    <w:p w14:paraId="68686E7A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Аукцион проводится в открытой форме, аукционной комиссией по указанному в извещении о проведении аукциона адресу в соответствующий день и назначенное время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в следующем порядке:</w:t>
      </w:r>
    </w:p>
    <w:p w14:paraId="09633F93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b/>
          <w:sz w:val="24"/>
          <w:szCs w:val="24"/>
          <w:lang w:eastAsia="en-US"/>
        </w:rPr>
      </w:pPr>
    </w:p>
    <w:p w14:paraId="3F8AAA8B">
      <w:pPr>
        <w:pStyle w:val="16"/>
        <w:numPr>
          <w:ilvl w:val="0"/>
          <w:numId w:val="1"/>
        </w:numPr>
        <w:shd w:val="clear" w:color="auto" w:fill="FFFFFF" w:themeFill="background1"/>
        <w:suppressAutoHyphens/>
        <w:ind w:left="0"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РЕГИСТРАЦИЯ УЧАСТНИКОВ:</w:t>
      </w:r>
    </w:p>
    <w:p w14:paraId="57AE05E8">
      <w:pPr>
        <w:pStyle w:val="16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Заявители, признанные участниками аукциона, проходят процедуру регистрации участников аукциона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с 10:00 часов до 10:30 часов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в день проведения аукциона.</w:t>
      </w:r>
    </w:p>
    <w:p w14:paraId="45BD5C8E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начале аукциона по каждому Лоту участникам выдаются пронумерованные карточки, согласно регистрационному номеру, которые они поднимают после оглашения начального размера ежегодной арендной платы за Лот, а также в случае повышения самим участником очередного размера ежегодной арендной платы.</w:t>
      </w:r>
    </w:p>
    <w:p w14:paraId="0C94870F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</w:p>
    <w:p w14:paraId="390E0B43">
      <w:pPr>
        <w:pStyle w:val="16"/>
        <w:numPr>
          <w:ilvl w:val="0"/>
          <w:numId w:val="1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ПРОВЕДЕНИЕ АУКЦИОНА</w:t>
      </w:r>
    </w:p>
    <w:p w14:paraId="6AD2E7BF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11857F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Аукционист в начале аукциона доводит до сведения участников аукциона порядок проведения аукциона, а также количество лотов. Далее аукционист объявляет о проведении аукциона по каждому лоту, доводит до сведения участников аукциона характеристики каждого лота, оглашает начальный размер ежегодной арендной платы и «шаг аукциона».</w:t>
      </w:r>
    </w:p>
    <w:p w14:paraId="133B1D66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После оглашения аукционистом начального размера ежегодной арендной платы, участникам аукциона предлагается заявить его путем поднятия карточек.</w:t>
      </w:r>
    </w:p>
    <w:p w14:paraId="5DE397BD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Аукционист называет номер карточки участника аукциона, который первым поднял карточку, далее участникам аукциона предлагается </w:t>
      </w:r>
      <w:r>
        <w:rPr>
          <w:rFonts w:eastAsia="Calibri"/>
          <w:b/>
          <w:sz w:val="24"/>
          <w:szCs w:val="24"/>
          <w:lang w:eastAsia="en-US"/>
        </w:rPr>
        <w:t>с голоса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b/>
          <w:sz w:val="24"/>
          <w:szCs w:val="24"/>
          <w:lang w:eastAsia="en-US"/>
        </w:rPr>
        <w:t>увеличивать</w:t>
      </w:r>
      <w:r>
        <w:rPr>
          <w:rFonts w:eastAsia="Calibri"/>
          <w:sz w:val="24"/>
          <w:szCs w:val="24"/>
          <w:lang w:eastAsia="en-US"/>
        </w:rPr>
        <w:t xml:space="preserve"> текущий размер ежегодной арендной платы на «шаг аукциона» одновременно с поднятием карточки (далее – очередной размер ежегодной арендной платы). </w:t>
      </w:r>
    </w:p>
    <w:p w14:paraId="7F4104A6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После объявления одним из участников аукциона </w:t>
      </w:r>
      <w:r>
        <w:rPr>
          <w:rFonts w:eastAsia="Calibri"/>
          <w:b/>
          <w:sz w:val="24"/>
          <w:szCs w:val="24"/>
          <w:lang w:eastAsia="en-US"/>
        </w:rPr>
        <w:t>очередного</w:t>
      </w:r>
      <w:r>
        <w:rPr>
          <w:rFonts w:eastAsia="Calibri"/>
          <w:sz w:val="24"/>
          <w:szCs w:val="24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7C5C5015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>
        <w:rPr>
          <w:rFonts w:eastAsia="Calibri"/>
          <w:b/>
          <w:sz w:val="24"/>
          <w:szCs w:val="24"/>
          <w:lang w:eastAsia="en-US"/>
        </w:rPr>
        <w:t>начальным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b/>
          <w:sz w:val="24"/>
          <w:szCs w:val="24"/>
          <w:lang w:eastAsia="en-US"/>
        </w:rPr>
        <w:t>размером ежегодной арендной платы</w:t>
      </w:r>
      <w:r>
        <w:rPr>
          <w:rFonts w:eastAsia="Calibri"/>
          <w:sz w:val="24"/>
          <w:szCs w:val="24"/>
          <w:lang w:eastAsia="en-US"/>
        </w:rPr>
        <w:t>, аукционист повторяет этот размер первого арендного платежа три раза.</w:t>
      </w:r>
    </w:p>
    <w:p w14:paraId="7C793886">
      <w:pPr>
        <w:suppressAutoHyphens/>
        <w:ind w:right="34"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517A7978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6292D61F">
      <w:pPr>
        <w:suppressAutoHyphens/>
        <w:ind w:right="34" w:firstLine="709"/>
        <w:jc w:val="both"/>
        <w:rPr>
          <w:rFonts w:eastAsiaTheme="minorHAnsi"/>
          <w:sz w:val="24"/>
          <w:szCs w:val="24"/>
          <w:lang w:eastAsia="en-US"/>
        </w:rPr>
      </w:pPr>
    </w:p>
    <w:p w14:paraId="362D41D2">
      <w:pPr>
        <w:suppressAutoHyphens/>
        <w:ind w:right="34" w:firstLine="709"/>
        <w:jc w:val="both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Победителем аукциона по каждому лоту признается участник аукциона, предложивший наибольший размер ежегодной арендной платы за земельный участок.</w:t>
      </w:r>
    </w:p>
    <w:p w14:paraId="0142F7F9">
      <w:pPr>
        <w:suppressAutoHyphens/>
        <w:ind w:right="34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завершении аукциона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14:paraId="012FC767">
      <w:pPr>
        <w:suppressAutoHyphens/>
        <w:ind w:right="34" w:firstLine="709"/>
        <w:jc w:val="both"/>
        <w:rPr>
          <w:sz w:val="24"/>
          <w:szCs w:val="24"/>
        </w:rPr>
      </w:pPr>
    </w:p>
    <w:p w14:paraId="210179E3">
      <w:pPr>
        <w:pStyle w:val="16"/>
        <w:numPr>
          <w:ilvl w:val="0"/>
          <w:numId w:val="1"/>
        </w:numPr>
        <w:suppressAutoHyphens/>
        <w:ind w:left="0" w:right="34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ПЕРЕРЫВ (ПРИ НЕОБХОДИМОСТИ)</w:t>
      </w:r>
    </w:p>
    <w:p w14:paraId="50ADB2AB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По инициативе аукционной комиссии может быть принято решение о приостановке проведения аукциона и объявлении перерыва продолжительностью не более 5 минут. </w:t>
      </w:r>
    </w:p>
    <w:p w14:paraId="32AC3A54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4466F67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6D2C6F73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Отметки обо всех объявленных перерывах аукциона делаются аукционной комиссией в протоколе о результатах аукциона. </w:t>
      </w:r>
    </w:p>
    <w:p w14:paraId="5CBC6EFC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14:paraId="43FA9C14">
      <w:pPr>
        <w:suppressAutoHyphens/>
        <w:ind w:right="34" w:firstLine="709"/>
        <w:jc w:val="both"/>
        <w:rPr>
          <w:rFonts w:eastAsia="Calibri"/>
          <w:sz w:val="24"/>
          <w:szCs w:val="24"/>
          <w:lang w:eastAsia="en-US"/>
        </w:rPr>
      </w:pPr>
    </w:p>
    <w:p w14:paraId="00427FA4">
      <w:pPr>
        <w:pStyle w:val="16"/>
        <w:numPr>
          <w:ilvl w:val="0"/>
          <w:numId w:val="1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ЗАВЕРШЕНИЕ АУКЦИОНА</w:t>
      </w:r>
    </w:p>
    <w:p w14:paraId="7258B278">
      <w:pPr>
        <w:suppressAutoHyphens/>
        <w:autoSpaceDE w:val="0"/>
        <w:autoSpaceDN w:val="0"/>
        <w:adjustRightInd w:val="0"/>
        <w:ind w:right="34" w:firstLine="709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rFonts w:eastAsiaTheme="minorHAnsi"/>
          <w:sz w:val="24"/>
          <w:szCs w:val="24"/>
          <w:lang w:eastAsia="en-US"/>
        </w:rPr>
        <w:t xml:space="preserve">По завершении аукциона аукционист называет номер карточки победителя аукциона, а также оглашает </w:t>
      </w:r>
      <w:r>
        <w:rPr>
          <w:rFonts w:eastAsia="Calibri"/>
          <w:sz w:val="24"/>
          <w:szCs w:val="24"/>
          <w:lang w:eastAsia="en-US"/>
        </w:rPr>
        <w:t xml:space="preserve">размер ежегодной арендной платы, предложенный победителем аукциона.  </w:t>
      </w:r>
      <w:r>
        <w:rPr>
          <w:color w:val="000000"/>
          <w:sz w:val="24"/>
          <w:szCs w:val="24"/>
          <w:shd w:val="clear" w:color="auto" w:fill="FFFFFF"/>
        </w:rPr>
        <w:t>Результаты аукциона оформляются протоколом о результатах аукциона, который составляется и подписывается организатором аукциона не позднее одного рабочего дня со дня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0A64CC0F">
      <w:pPr>
        <w:suppressAutoHyphens/>
        <w:autoSpaceDE w:val="0"/>
        <w:autoSpaceDN w:val="0"/>
        <w:adjustRightInd w:val="0"/>
        <w:ind w:right="34" w:firstLine="709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 xml:space="preserve"> </w:t>
      </w:r>
    </w:p>
    <w:p w14:paraId="1D47E74F">
      <w:pPr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bookmarkStart w:id="2" w:name="_Hlk193639961"/>
      <w:r>
        <w:rPr>
          <w:rFonts w:eastAsia="Calibri"/>
          <w:b/>
          <w:bCs/>
          <w:sz w:val="24"/>
          <w:szCs w:val="24"/>
          <w:lang w:eastAsia="en-US"/>
        </w:rPr>
        <w:t>Порядок заключения договора аренды земельного участка:</w:t>
      </w:r>
      <w:bookmarkStart w:id="3" w:name="Par0"/>
      <w:bookmarkEnd w:id="3"/>
    </w:p>
    <w:p w14:paraId="5CE340B3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14:paraId="671F593C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Договор аренды земельного участка заключается:</w:t>
      </w:r>
    </w:p>
    <w:p w14:paraId="0C51F6F4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а) с победителем аукциона или с единственным принявшим участие в аукционе его участником, путем </w:t>
      </w:r>
      <w:r>
        <w:rPr>
          <w:color w:val="000000"/>
          <w:sz w:val="24"/>
          <w:szCs w:val="24"/>
          <w:shd w:val="clear" w:color="auto" w:fill="FFFFFF"/>
        </w:rPr>
        <w:t xml:space="preserve">направления </w:t>
      </w:r>
      <w:r>
        <w:rPr>
          <w:rFonts w:eastAsia="Calibri"/>
          <w:sz w:val="24"/>
          <w:szCs w:val="24"/>
          <w:lang w:eastAsia="en-US"/>
        </w:rPr>
        <w:t>организатором аукциона</w:t>
      </w:r>
      <w:r>
        <w:rPr>
          <w:color w:val="000000"/>
          <w:sz w:val="24"/>
          <w:szCs w:val="24"/>
          <w:shd w:val="clear" w:color="auto" w:fill="FFFFFF"/>
        </w:rPr>
        <w:t xml:space="preserve"> двух экземпляров </w:t>
      </w:r>
      <w:r>
        <w:rPr>
          <w:rFonts w:eastAsiaTheme="minorHAnsi"/>
          <w:sz w:val="24"/>
          <w:szCs w:val="24"/>
          <w:lang w:eastAsia="en-US"/>
        </w:rPr>
        <w:t>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</w:t>
      </w:r>
    </w:p>
    <w:p w14:paraId="7448B12C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Указанный договор должен быть подписан победителем (либо </w:t>
      </w:r>
      <w:r>
        <w:rPr>
          <w:rFonts w:eastAsia="Calibri"/>
          <w:sz w:val="24"/>
          <w:szCs w:val="24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7E9815B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</w:p>
    <w:p w14:paraId="17DCAD45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б) с заявителем, признанным единственным участником аукциона, заявителем, подавшем единственную заявку на участие в 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</w:t>
      </w:r>
      <w:r>
        <w:rPr>
          <w:color w:val="000000"/>
          <w:sz w:val="24"/>
          <w:szCs w:val="24"/>
          <w:shd w:val="clear" w:color="auto" w:fill="FFFFFF"/>
        </w:rPr>
        <w:t xml:space="preserve">в течение десяти дней со дня подписания протокола рассмотрения заявок </w:t>
      </w:r>
      <w:r>
        <w:rPr>
          <w:rFonts w:eastAsia="Calibri"/>
          <w:sz w:val="24"/>
          <w:szCs w:val="24"/>
          <w:lang w:eastAsia="en-US"/>
        </w:rPr>
        <w:t xml:space="preserve">путем направления организатором аукциона </w:t>
      </w:r>
      <w:r>
        <w:rPr>
          <w:color w:val="000000"/>
          <w:sz w:val="24"/>
          <w:szCs w:val="24"/>
          <w:shd w:val="clear" w:color="auto" w:fill="FFFFFF"/>
        </w:rPr>
        <w:t xml:space="preserve">двух экземпляров подписанного </w:t>
      </w:r>
      <w:r>
        <w:rPr>
          <w:rFonts w:eastAsia="Calibri"/>
          <w:sz w:val="24"/>
          <w:szCs w:val="24"/>
          <w:lang w:eastAsia="en-US"/>
        </w:rPr>
        <w:t>проекта договора аренды земельного участка. Указанный договор должен быть подписан и предоставлен организатору аукциона в течение десяти рабочих дней</w:t>
      </w:r>
      <w:r>
        <w:rPr>
          <w:rFonts w:eastAsiaTheme="minorHAnsi"/>
          <w:sz w:val="24"/>
          <w:szCs w:val="24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>
        <w:rPr>
          <w:rFonts w:eastAsia="Calibri"/>
          <w:sz w:val="24"/>
          <w:szCs w:val="24"/>
          <w:lang w:eastAsia="en-US"/>
        </w:rPr>
        <w:t>.</w:t>
      </w:r>
    </w:p>
    <w:p w14:paraId="00C3C3DA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2F1CD92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Не допускается заключение указанных договоров ранее чем через десять дней со дня размещения информации о результатах аукциона на официальном сайте, в том числе договоров, указанных в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\l "Par0" </w:instrText>
      </w:r>
      <w:r>
        <w:rPr>
          <w:sz w:val="24"/>
          <w:szCs w:val="24"/>
        </w:rPr>
        <w:fldChar w:fldCharType="separate"/>
      </w:r>
      <w:r>
        <w:rPr>
          <w:rFonts w:eastAsiaTheme="minorHAnsi"/>
          <w:color w:val="0000FF"/>
          <w:sz w:val="24"/>
          <w:szCs w:val="24"/>
          <w:lang w:eastAsia="en-US"/>
        </w:rPr>
        <w:t>пунктах 13</w:t>
      </w:r>
      <w:r>
        <w:rPr>
          <w:rFonts w:eastAsiaTheme="minorHAnsi"/>
          <w:color w:val="0000FF"/>
          <w:sz w:val="24"/>
          <w:szCs w:val="24"/>
          <w:lang w:eastAsia="en-US"/>
        </w:rPr>
        <w:fldChar w:fldCharType="end"/>
      </w:r>
      <w:r>
        <w:rPr>
          <w:rFonts w:eastAsiaTheme="minorHAnsi"/>
          <w:sz w:val="24"/>
          <w:szCs w:val="24"/>
          <w:lang w:eastAsia="en-US"/>
        </w:rPr>
        <w:t xml:space="preserve"> и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\l "Par1" </w:instrText>
      </w:r>
      <w:r>
        <w:rPr>
          <w:sz w:val="24"/>
          <w:szCs w:val="24"/>
        </w:rPr>
        <w:fldChar w:fldCharType="separate"/>
      </w:r>
      <w:r>
        <w:rPr>
          <w:rFonts w:eastAsiaTheme="minorHAnsi"/>
          <w:color w:val="0000FF"/>
          <w:sz w:val="24"/>
          <w:szCs w:val="24"/>
          <w:lang w:eastAsia="en-US"/>
        </w:rPr>
        <w:t>14</w:t>
      </w:r>
      <w:r>
        <w:rPr>
          <w:rFonts w:eastAsiaTheme="minorHAnsi"/>
          <w:color w:val="0000FF"/>
          <w:sz w:val="24"/>
          <w:szCs w:val="24"/>
          <w:lang w:eastAsia="en-US"/>
        </w:rPr>
        <w:fldChar w:fldCharType="end"/>
      </w:r>
      <w:r>
        <w:rPr>
          <w:rFonts w:eastAsiaTheme="minorHAnsi"/>
          <w:sz w:val="24"/>
          <w:szCs w:val="24"/>
          <w:lang w:eastAsia="en-US"/>
        </w:rPr>
        <w:t xml:space="preserve"> статьи 39.12 Земельного кодекса РФ.</w:t>
      </w:r>
    </w:p>
    <w:p w14:paraId="1C2BD4A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6AF600D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"https://login.consultant.ru/link/?req=doc&amp;base=LAW&amp;n=483141&amp;dst=689" </w:instrText>
      </w:r>
      <w:r>
        <w:rPr>
          <w:sz w:val="24"/>
          <w:szCs w:val="24"/>
        </w:rPr>
        <w:fldChar w:fldCharType="separate"/>
      </w:r>
      <w:r>
        <w:rPr>
          <w:rFonts w:eastAsiaTheme="minorHAnsi"/>
          <w:color w:val="0000FF"/>
          <w:sz w:val="24"/>
          <w:szCs w:val="24"/>
          <w:lang w:eastAsia="en-US"/>
        </w:rPr>
        <w:t>пунктом 13</w:t>
      </w:r>
      <w:r>
        <w:rPr>
          <w:rFonts w:eastAsiaTheme="minorHAnsi"/>
          <w:color w:val="0000FF"/>
          <w:sz w:val="24"/>
          <w:szCs w:val="24"/>
          <w:lang w:eastAsia="en-US"/>
        </w:rPr>
        <w:fldChar w:fldCharType="end"/>
      </w:r>
      <w:r>
        <w:rPr>
          <w:rFonts w:eastAsiaTheme="minorHAnsi"/>
          <w:sz w:val="24"/>
          <w:szCs w:val="24"/>
          <w:lang w:eastAsia="en-US"/>
        </w:rPr>
        <w:t xml:space="preserve">,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"https://login.consultant.ru/link/?req=doc&amp;base=LAW&amp;n=483141&amp;dst=2772" </w:instrText>
      </w:r>
      <w:r>
        <w:rPr>
          <w:sz w:val="24"/>
          <w:szCs w:val="24"/>
        </w:rPr>
        <w:fldChar w:fldCharType="separate"/>
      </w:r>
      <w:r>
        <w:rPr>
          <w:rFonts w:eastAsiaTheme="minorHAnsi"/>
          <w:color w:val="0000FF"/>
          <w:sz w:val="24"/>
          <w:szCs w:val="24"/>
          <w:lang w:eastAsia="en-US"/>
        </w:rPr>
        <w:t>14</w:t>
      </w:r>
      <w:r>
        <w:rPr>
          <w:rFonts w:eastAsiaTheme="minorHAnsi"/>
          <w:color w:val="0000FF"/>
          <w:sz w:val="24"/>
          <w:szCs w:val="24"/>
          <w:lang w:eastAsia="en-US"/>
        </w:rPr>
        <w:fldChar w:fldCharType="end"/>
      </w:r>
      <w:r>
        <w:rPr>
          <w:rFonts w:eastAsiaTheme="minorHAnsi"/>
          <w:sz w:val="24"/>
          <w:szCs w:val="24"/>
          <w:lang w:eastAsia="en-US"/>
        </w:rPr>
        <w:t xml:space="preserve">,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"https://login.consultant.ru/link/?req=doc&amp;base=LAW&amp;n=483141&amp;dst=2777" </w:instrText>
      </w:r>
      <w:r>
        <w:rPr>
          <w:sz w:val="24"/>
          <w:szCs w:val="24"/>
        </w:rPr>
        <w:fldChar w:fldCharType="separate"/>
      </w:r>
      <w:r>
        <w:rPr>
          <w:rFonts w:eastAsiaTheme="minorHAnsi"/>
          <w:color w:val="0000FF"/>
          <w:sz w:val="24"/>
          <w:szCs w:val="24"/>
          <w:lang w:eastAsia="en-US"/>
        </w:rPr>
        <w:t>20</w:t>
      </w:r>
      <w:r>
        <w:rPr>
          <w:rFonts w:eastAsiaTheme="minorHAnsi"/>
          <w:color w:val="0000FF"/>
          <w:sz w:val="24"/>
          <w:szCs w:val="24"/>
          <w:lang w:eastAsia="en-US"/>
        </w:rPr>
        <w:fldChar w:fldCharType="end"/>
      </w:r>
      <w:r>
        <w:rPr>
          <w:rFonts w:eastAsiaTheme="minorHAnsi"/>
          <w:sz w:val="24"/>
          <w:szCs w:val="24"/>
          <w:lang w:eastAsia="en-US"/>
        </w:rPr>
        <w:t xml:space="preserve"> или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"https://login.consultant.ru/link/?req=doc&amp;base=LAW&amp;n=483141&amp;dst=2780" </w:instrText>
      </w:r>
      <w:r>
        <w:rPr>
          <w:sz w:val="24"/>
          <w:szCs w:val="24"/>
        </w:rPr>
        <w:fldChar w:fldCharType="separate"/>
      </w:r>
      <w:r>
        <w:rPr>
          <w:rFonts w:eastAsiaTheme="minorHAnsi"/>
          <w:color w:val="0000FF"/>
          <w:sz w:val="24"/>
          <w:szCs w:val="24"/>
          <w:lang w:eastAsia="en-US"/>
        </w:rPr>
        <w:t>25</w:t>
      </w:r>
      <w:r>
        <w:rPr>
          <w:rFonts w:eastAsiaTheme="minorHAnsi"/>
          <w:color w:val="0000FF"/>
          <w:sz w:val="24"/>
          <w:szCs w:val="24"/>
          <w:lang w:eastAsia="en-US"/>
        </w:rPr>
        <w:fldChar w:fldCharType="end"/>
      </w:r>
      <w:r>
        <w:rPr>
          <w:rFonts w:eastAsiaTheme="minorHAnsi"/>
          <w:sz w:val="24"/>
          <w:szCs w:val="24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"https://login.consultant.ru/link/?req=doc&amp;base=LAW&amp;n=483141&amp;dst=712" </w:instrText>
      </w:r>
      <w:r>
        <w:rPr>
          <w:sz w:val="24"/>
          <w:szCs w:val="24"/>
        </w:rPr>
        <w:fldChar w:fldCharType="separate"/>
      </w:r>
      <w:r>
        <w:rPr>
          <w:rFonts w:eastAsiaTheme="minorHAnsi"/>
          <w:color w:val="0000FF"/>
          <w:sz w:val="24"/>
          <w:szCs w:val="24"/>
          <w:lang w:eastAsia="en-US"/>
        </w:rPr>
        <w:t>подпунктами 1</w:t>
      </w:r>
      <w:r>
        <w:rPr>
          <w:rFonts w:eastAsiaTheme="minorHAnsi"/>
          <w:color w:val="0000FF"/>
          <w:sz w:val="24"/>
          <w:szCs w:val="24"/>
          <w:lang w:eastAsia="en-US"/>
        </w:rPr>
        <w:fldChar w:fldCharType="end"/>
      </w:r>
      <w:r>
        <w:rPr>
          <w:rFonts w:eastAsiaTheme="minorHAnsi"/>
          <w:sz w:val="24"/>
          <w:szCs w:val="24"/>
          <w:lang w:eastAsia="en-US"/>
        </w:rPr>
        <w:t xml:space="preserve"> -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"https://login.consultant.ru/link/?req=doc&amp;base=LAW&amp;n=483141&amp;dst=714" </w:instrText>
      </w:r>
      <w:r>
        <w:rPr>
          <w:sz w:val="24"/>
          <w:szCs w:val="24"/>
        </w:rPr>
        <w:fldChar w:fldCharType="separate"/>
      </w:r>
      <w:r>
        <w:rPr>
          <w:rFonts w:eastAsiaTheme="minorHAnsi"/>
          <w:color w:val="0000FF"/>
          <w:sz w:val="24"/>
          <w:szCs w:val="24"/>
          <w:lang w:eastAsia="en-US"/>
        </w:rPr>
        <w:t>3 пункта 29</w:t>
      </w:r>
      <w:r>
        <w:rPr>
          <w:rFonts w:eastAsiaTheme="minorHAnsi"/>
          <w:color w:val="0000FF"/>
          <w:sz w:val="24"/>
          <w:szCs w:val="24"/>
          <w:lang w:eastAsia="en-US"/>
        </w:rPr>
        <w:fldChar w:fldCharType="end"/>
      </w:r>
      <w:r>
        <w:rPr>
          <w:rFonts w:eastAsiaTheme="minorHAnsi"/>
          <w:sz w:val="24"/>
          <w:szCs w:val="24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22F8EC2F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bookmarkEnd w:id="2"/>
    <w:p w14:paraId="153AD3A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14:paraId="33B9997E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Условия и сроки внесения ежегодной арендной платы: </w:t>
      </w:r>
    </w:p>
    <w:p w14:paraId="5775CC41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14:paraId="72424705">
      <w:pPr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73AB7942">
      <w:pPr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1457CF4B">
      <w:pPr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2C31AA1D">
      <w:pPr>
        <w:ind w:firstLine="709"/>
        <w:jc w:val="both"/>
        <w:rPr>
          <w:rFonts w:eastAsia="Calibri"/>
          <w:bCs/>
          <w:sz w:val="24"/>
          <w:szCs w:val="24"/>
          <w:lang w:eastAsia="en-US"/>
        </w:rPr>
      </w:pPr>
    </w:p>
    <w:p w14:paraId="0CD65828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Иные сведения:</w:t>
      </w:r>
    </w:p>
    <w:p w14:paraId="4BCD5436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14:paraId="131F994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690E277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"http://www.torgi.gov.ru" </w:instrText>
      </w:r>
      <w:r>
        <w:rPr>
          <w:sz w:val="24"/>
          <w:szCs w:val="24"/>
        </w:rPr>
        <w:fldChar w:fldCharType="separate"/>
      </w:r>
      <w:r>
        <w:rPr>
          <w:rStyle w:val="7"/>
          <w:rFonts w:eastAsia="Calibri"/>
          <w:sz w:val="24"/>
          <w:szCs w:val="24"/>
          <w:lang w:eastAsia="en-US"/>
        </w:rPr>
        <w:t>www.torgi.gov.ru</w:t>
      </w:r>
      <w:r>
        <w:rPr>
          <w:rStyle w:val="7"/>
          <w:rFonts w:eastAsia="Calibri"/>
          <w:sz w:val="24"/>
          <w:szCs w:val="24"/>
          <w:lang w:eastAsia="en-US"/>
        </w:rPr>
        <w:fldChar w:fldCharType="end"/>
      </w:r>
      <w:r>
        <w:rPr>
          <w:rFonts w:eastAsia="Calibri"/>
          <w:sz w:val="24"/>
          <w:szCs w:val="24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4ED91A81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654018F7">
      <w:pPr>
        <w:pStyle w:val="19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670ABB2E">
      <w:pPr>
        <w:pStyle w:val="19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8C41401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C631544">
      <w:pPr>
        <w:widowControl w:val="0"/>
        <w:autoSpaceDE w:val="0"/>
        <w:autoSpaceDN w:val="0"/>
        <w:adjustRightInd w:val="0"/>
        <w:ind w:left="4820"/>
        <w:jc w:val="right"/>
        <w:rPr>
          <w:sz w:val="24"/>
          <w:szCs w:val="24"/>
        </w:rPr>
      </w:pPr>
    </w:p>
    <w:sectPr>
      <w:pgSz w:w="11906" w:h="16838"/>
      <w:pgMar w:top="568" w:right="567" w:bottom="284" w:left="1276" w:header="709" w:footer="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8C0CF1"/>
    <w:multiLevelType w:val="multilevel"/>
    <w:tmpl w:val="648C0CF1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89B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18F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2BD1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5372"/>
    <w:rsid w:val="000D70EC"/>
    <w:rsid w:val="000D7241"/>
    <w:rsid w:val="000E00A4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686B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0BFE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206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97EAA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025"/>
    <w:rsid w:val="00570104"/>
    <w:rsid w:val="00570181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153"/>
    <w:rsid w:val="005D3ACC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57D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67EA5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BAD"/>
    <w:rsid w:val="006D1F34"/>
    <w:rsid w:val="006D2199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68DA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1AB5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3692"/>
    <w:rsid w:val="008254BE"/>
    <w:rsid w:val="008261AE"/>
    <w:rsid w:val="00826E52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3411"/>
    <w:rsid w:val="00914557"/>
    <w:rsid w:val="00915FDC"/>
    <w:rsid w:val="00916BFC"/>
    <w:rsid w:val="0092015A"/>
    <w:rsid w:val="009212F2"/>
    <w:rsid w:val="009222AF"/>
    <w:rsid w:val="009239EA"/>
    <w:rsid w:val="00925E19"/>
    <w:rsid w:val="00927A0C"/>
    <w:rsid w:val="00927D8B"/>
    <w:rsid w:val="00930EC4"/>
    <w:rsid w:val="00930F62"/>
    <w:rsid w:val="00931931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207A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6624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278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3E9B"/>
    <w:rsid w:val="00A0645D"/>
    <w:rsid w:val="00A06AED"/>
    <w:rsid w:val="00A06BD2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0F3A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DA"/>
    <w:rsid w:val="00B3332C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6F90"/>
    <w:rsid w:val="00BD79E6"/>
    <w:rsid w:val="00BE14F0"/>
    <w:rsid w:val="00BE1BEB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D58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933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E08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600A1"/>
    <w:rsid w:val="00E6276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4CE5"/>
    <w:rsid w:val="00E851EB"/>
    <w:rsid w:val="00E85B5A"/>
    <w:rsid w:val="00E86F23"/>
    <w:rsid w:val="00E93EC0"/>
    <w:rsid w:val="00E94215"/>
    <w:rsid w:val="00E94663"/>
    <w:rsid w:val="00E949A5"/>
    <w:rsid w:val="00E95563"/>
    <w:rsid w:val="00E95FBD"/>
    <w:rsid w:val="00E961BC"/>
    <w:rsid w:val="00E97B6C"/>
    <w:rsid w:val="00EA2CE7"/>
    <w:rsid w:val="00EA363C"/>
    <w:rsid w:val="00EA5E75"/>
    <w:rsid w:val="00EA7685"/>
    <w:rsid w:val="00EB0EE9"/>
    <w:rsid w:val="00EB1BE3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35A6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  <w:rsid w:val="123F5858"/>
    <w:rsid w:val="1BAB2117"/>
    <w:rsid w:val="25444AB3"/>
    <w:rsid w:val="2C1E14F3"/>
    <w:rsid w:val="2E5D2482"/>
    <w:rsid w:val="3ED84243"/>
    <w:rsid w:val="3F0414F0"/>
    <w:rsid w:val="41EE6324"/>
    <w:rsid w:val="470A0454"/>
    <w:rsid w:val="58B6011C"/>
    <w:rsid w:val="5ED33663"/>
    <w:rsid w:val="6A0C2BBB"/>
    <w:rsid w:val="7B9B7A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afterAutospacing="0"/>
      <w:jc w:val="left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3"/>
    <w:basedOn w:val="1"/>
    <w:next w:val="1"/>
    <w:link w:val="15"/>
    <w:qFormat/>
    <w:uiPriority w:val="0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qFormat/>
    <w:uiPriority w:val="20"/>
    <w:rPr>
      <w:i/>
      <w:iCs/>
    </w:rPr>
  </w:style>
  <w:style w:type="character" w:styleId="7">
    <w:name w:val="Hyperlink"/>
    <w:unhideWhenUsed/>
    <w:qFormat/>
    <w:uiPriority w:val="0"/>
    <w:rPr>
      <w:color w:val="0000FF"/>
      <w:u w:val="single"/>
    </w:rPr>
  </w:style>
  <w:style w:type="paragraph" w:styleId="8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Plain Text"/>
    <w:basedOn w:val="1"/>
    <w:link w:val="26"/>
    <w:qFormat/>
    <w:uiPriority w:val="0"/>
    <w:rPr>
      <w:rFonts w:ascii="Courier New" w:hAnsi="Courier New" w:cs="Courier New"/>
      <w:sz w:val="20"/>
      <w:szCs w:val="20"/>
    </w:rPr>
  </w:style>
  <w:style w:type="paragraph" w:styleId="10">
    <w:name w:val="header"/>
    <w:basedOn w:val="1"/>
    <w:link w:val="17"/>
    <w:qFormat/>
    <w:uiPriority w:val="0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11">
    <w:name w:val="Body Text"/>
    <w:basedOn w:val="1"/>
    <w:link w:val="31"/>
    <w:qFormat/>
    <w:uiPriority w:val="0"/>
    <w:pPr>
      <w:spacing w:after="120"/>
    </w:pPr>
    <w:rPr>
      <w:sz w:val="20"/>
      <w:szCs w:val="20"/>
    </w:rPr>
  </w:style>
  <w:style w:type="paragraph" w:styleId="12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3">
    <w:name w:val="Normal (Web)"/>
    <w:basedOn w:val="1"/>
    <w:qFormat/>
    <w:uiPriority w:val="99"/>
  </w:style>
  <w:style w:type="character" w:customStyle="1" w:styleId="14">
    <w:name w:val="Текст выноски Знак"/>
    <w:basedOn w:val="4"/>
    <w:link w:val="8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Заголовок 3 Знак"/>
    <w:basedOn w:val="4"/>
    <w:link w:val="3"/>
    <w:qFormat/>
    <w:uiPriority w:val="0"/>
    <w:rPr>
      <w:rFonts w:ascii="Times New Roman" w:hAnsi="Times New Roman" w:eastAsia="Times New Roman" w:cs="Times New Roman"/>
      <w:color w:val="000000"/>
      <w:sz w:val="28"/>
      <w:szCs w:val="18"/>
      <w:lang w:eastAsia="ru-RU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Верхний колонтитул Знак"/>
    <w:basedOn w:val="4"/>
    <w:link w:val="10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character" w:customStyle="1" w:styleId="18">
    <w:name w:val="Нижний колонтитул Знак"/>
    <w:basedOn w:val="4"/>
    <w:link w:val="12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9">
    <w:name w:val="No Spacing"/>
    <w:qFormat/>
    <w:uiPriority w:val="1"/>
    <w:pPr>
      <w:spacing w:after="0" w:afterAutospacing="0"/>
      <w:jc w:val="left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ru-RU"/>
    </w:rPr>
  </w:style>
  <w:style w:type="paragraph" w:customStyle="1" w:styleId="21">
    <w:name w:val="ConsPlusNormal"/>
    <w:link w:val="23"/>
    <w:qFormat/>
    <w:uiPriority w:val="0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22">
    <w:name w:val="ConsNonformat"/>
    <w:qFormat/>
    <w:uiPriority w:val="0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hAnsi="Courier New" w:eastAsia="Times New Roman" w:cs="Courier New"/>
      <w:sz w:val="24"/>
      <w:szCs w:val="24"/>
      <w:lang w:val="ru-RU" w:eastAsia="ru-RU" w:bidi="ar-SA"/>
    </w:rPr>
  </w:style>
  <w:style w:type="character" w:customStyle="1" w:styleId="23">
    <w:name w:val="ConsPlusNormal Знак"/>
    <w:link w:val="21"/>
    <w:qFormat/>
    <w:locked/>
    <w:uiPriority w:val="0"/>
    <w:rPr>
      <w:rFonts w:ascii="Arial" w:hAnsi="Arial" w:eastAsia="Times New Roman" w:cs="Arial"/>
      <w:sz w:val="20"/>
      <w:szCs w:val="20"/>
      <w:lang w:eastAsia="ru-RU"/>
    </w:rPr>
  </w:style>
  <w:style w:type="paragraph" w:customStyle="1" w:styleId="24">
    <w:name w:val="ConsPlusNonformat"/>
    <w:qFormat/>
    <w:uiPriority w:val="0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25">
    <w:name w:val="ConsNormal"/>
    <w:qFormat/>
    <w:uiPriority w:val="0"/>
    <w:pPr>
      <w:widowControl w:val="0"/>
      <w:spacing w:after="0" w:afterAutospacing="0"/>
      <w:ind w:firstLine="720"/>
      <w:jc w:val="left"/>
    </w:pPr>
    <w:rPr>
      <w:rFonts w:ascii="Arial" w:hAnsi="Arial" w:eastAsia="Times New Roman" w:cs="Times New Roman"/>
      <w:snapToGrid w:val="0"/>
      <w:sz w:val="20"/>
      <w:szCs w:val="20"/>
      <w:lang w:val="ru-RU" w:eastAsia="ru-RU" w:bidi="ar-SA"/>
    </w:rPr>
  </w:style>
  <w:style w:type="character" w:customStyle="1" w:styleId="26">
    <w:name w:val="Текст Знак"/>
    <w:basedOn w:val="4"/>
    <w:link w:val="9"/>
    <w:qFormat/>
    <w:uiPriority w:val="0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27">
    <w:name w:val="WW8Num5z2"/>
    <w:qFormat/>
    <w:uiPriority w:val="0"/>
    <w:rPr>
      <w:rFonts w:ascii="Wingdings" w:hAnsi="Wingdings" w:cs="Wingdings"/>
    </w:rPr>
  </w:style>
  <w:style w:type="character" w:customStyle="1" w:styleId="28">
    <w:name w:val="apple-style-span"/>
    <w:basedOn w:val="4"/>
    <w:qFormat/>
    <w:uiPriority w:val="0"/>
  </w:style>
  <w:style w:type="paragraph" w:customStyle="1" w:styleId="29">
    <w:name w:val="formattext topleveltext"/>
    <w:basedOn w:val="1"/>
    <w:qFormat/>
    <w:uiPriority w:val="0"/>
    <w:pPr>
      <w:spacing w:before="100" w:beforeAutospacing="1" w:after="100" w:afterAutospacing="1"/>
    </w:pPr>
  </w:style>
  <w:style w:type="character" w:customStyle="1" w:styleId="30">
    <w:name w:val="layout"/>
    <w:basedOn w:val="4"/>
    <w:qFormat/>
    <w:uiPriority w:val="0"/>
  </w:style>
  <w:style w:type="character" w:customStyle="1" w:styleId="31">
    <w:name w:val="Основной текст Знак"/>
    <w:basedOn w:val="4"/>
    <w:link w:val="11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33">
    <w:name w:val="Неразрешенное упоминание1"/>
    <w:basedOn w:val="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15CD2-6DBB-4C12-9246-85EAC2E803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6</Pages>
  <Words>8532</Words>
  <Characters>48633</Characters>
  <Lines>405</Lines>
  <Paragraphs>114</Paragraphs>
  <TotalTime>19</TotalTime>
  <ScaleCrop>false</ScaleCrop>
  <LinksUpToDate>false</LinksUpToDate>
  <CharactersWithSpaces>57051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2018-10-17T08:56:00Z</dcterms:created>
  <dc:creator>Галина</dc:creator>
  <cp:lastModifiedBy>User17</cp:lastModifiedBy>
  <cp:lastPrinted>2021-06-06T14:43:00Z</cp:lastPrinted>
  <dcterms:modified xsi:type="dcterms:W3CDTF">2025-07-25T08:46:48Z</dcterms:modified>
  <cp:revision>2051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528DD25CAE954736B012AC850D8177B6_12</vt:lpwstr>
  </property>
</Properties>
</file>