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8F83C4">
      <w:pPr>
        <w:pStyle w:val="10"/>
        <w:shd w:val="clear" w:color="auto" w:fill="auto"/>
        <w:spacing w:after="0" w:line="240" w:lineRule="exact"/>
        <w:ind w:firstLine="0"/>
        <w:jc w:val="both"/>
        <w:rPr>
          <w:color w:val="auto"/>
        </w:rPr>
      </w:pPr>
    </w:p>
    <w:p w14:paraId="3DBEC507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A997AAD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D043695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35AED602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F54E970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78C37F1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94AF29D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B4A579C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E0FEF0F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4530829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306CF486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EED743F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6917E3C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6A4AC79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6796E48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B888F35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0EAAFEE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66C28D5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E675863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DB67BBF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CB6278D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778F5EB">
      <w:pPr>
        <w:pStyle w:val="10"/>
        <w:spacing w:line="240" w:lineRule="exact"/>
        <w:ind w:firstLine="0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ИЗВЕЩЕНИЕ О ПРОВЕДЕНИИ</w:t>
      </w:r>
    </w:p>
    <w:p w14:paraId="767F2F81">
      <w:pPr>
        <w:pStyle w:val="10"/>
        <w:spacing w:line="240" w:lineRule="exact"/>
        <w:ind w:firstLine="0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 xml:space="preserve">АУКЦИОНА В ЭЛЕКТРОННОЙ ФОРМЕ </w:t>
      </w:r>
    </w:p>
    <w:p w14:paraId="1C311959">
      <w:pPr>
        <w:pStyle w:val="10"/>
        <w:spacing w:line="240" w:lineRule="exact"/>
        <w:ind w:firstLine="0"/>
        <w:jc w:val="center"/>
        <w:rPr>
          <w:color w:val="auto"/>
        </w:rPr>
      </w:pPr>
      <w:r>
        <w:rPr>
          <w:color w:val="auto"/>
        </w:rPr>
        <w:t xml:space="preserve">на право заключения договоров аренды земельных участков, </w:t>
      </w:r>
    </w:p>
    <w:p w14:paraId="4A2D0B44">
      <w:pPr>
        <w:pStyle w:val="10"/>
        <w:spacing w:line="240" w:lineRule="exact"/>
        <w:ind w:firstLine="0"/>
        <w:jc w:val="center"/>
        <w:rPr>
          <w:color w:val="auto"/>
        </w:rPr>
      </w:pPr>
      <w:r>
        <w:rPr>
          <w:color w:val="auto"/>
        </w:rPr>
        <w:t xml:space="preserve">государственная собственность на которые не разграничена, </w:t>
      </w:r>
    </w:p>
    <w:p w14:paraId="13A3B698">
      <w:pPr>
        <w:pStyle w:val="10"/>
        <w:spacing w:line="240" w:lineRule="exact"/>
        <w:ind w:firstLine="0"/>
        <w:jc w:val="center"/>
        <w:rPr>
          <w:color w:val="auto"/>
        </w:rPr>
      </w:pPr>
      <w:r>
        <w:rPr>
          <w:color w:val="auto"/>
        </w:rPr>
        <w:t xml:space="preserve">расположенных на территории </w:t>
      </w:r>
    </w:p>
    <w:p w14:paraId="371FB26C">
      <w:pPr>
        <w:pStyle w:val="10"/>
        <w:spacing w:line="240" w:lineRule="exact"/>
        <w:ind w:firstLine="0"/>
        <w:jc w:val="center"/>
        <w:rPr>
          <w:color w:val="auto"/>
        </w:rPr>
      </w:pPr>
      <w:r>
        <w:rPr>
          <w:color w:val="auto"/>
        </w:rPr>
        <w:t xml:space="preserve">Усть-Коксинского района, </w:t>
      </w:r>
    </w:p>
    <w:p w14:paraId="1CE123DF">
      <w:pPr>
        <w:pStyle w:val="10"/>
        <w:spacing w:line="240" w:lineRule="exact"/>
        <w:ind w:firstLine="0"/>
        <w:jc w:val="center"/>
        <w:rPr>
          <w:color w:val="auto"/>
        </w:rPr>
      </w:pPr>
      <w:r>
        <w:rPr>
          <w:color w:val="auto"/>
        </w:rPr>
        <w:t>Республики Алтай</w:t>
      </w:r>
    </w:p>
    <w:p w14:paraId="584A31C0">
      <w:pPr>
        <w:pStyle w:val="10"/>
        <w:spacing w:line="240" w:lineRule="exact"/>
        <w:ind w:firstLine="0"/>
        <w:jc w:val="left"/>
        <w:rPr>
          <w:color w:val="auto"/>
        </w:rPr>
      </w:pPr>
    </w:p>
    <w:p w14:paraId="15AC7C08">
      <w:pPr>
        <w:pStyle w:val="10"/>
        <w:spacing w:line="240" w:lineRule="exact"/>
        <w:ind w:firstLine="0"/>
        <w:jc w:val="left"/>
        <w:rPr>
          <w:color w:val="auto"/>
        </w:rPr>
      </w:pPr>
    </w:p>
    <w:p w14:paraId="1DD1A85C">
      <w:pPr>
        <w:pStyle w:val="10"/>
        <w:spacing w:line="240" w:lineRule="exact"/>
        <w:ind w:firstLine="0"/>
        <w:jc w:val="left"/>
        <w:rPr>
          <w:b/>
          <w:bCs/>
          <w:color w:val="auto"/>
        </w:rPr>
      </w:pPr>
    </w:p>
    <w:p w14:paraId="51593B65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74882E9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3D300BB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30CFE8D7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332450F4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3427A1C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8533300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AD874FF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D0D26FD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C9D9546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4745E59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F542D7C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B61CDE1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22416CB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D8B2C81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1495FFA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4679C6B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5A94E6F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ABD8416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BC006EF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6131633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0F9C526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39441E44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3F374AFF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0B867EF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345A809">
      <w:pPr>
        <w:pStyle w:val="1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A515C45">
      <w:pPr>
        <w:pStyle w:val="10"/>
        <w:shd w:val="clear" w:color="auto" w:fill="auto"/>
        <w:spacing w:after="0" w:line="485" w:lineRule="exact"/>
        <w:ind w:firstLine="0"/>
        <w:jc w:val="both"/>
        <w:rPr>
          <w:color w:val="auto"/>
        </w:rPr>
        <w:sectPr>
          <w:pgSz w:w="11900" w:h="16840"/>
          <w:pgMar w:top="1134" w:right="850" w:bottom="1134" w:left="1701" w:header="0" w:footer="6" w:gutter="0"/>
          <w:cols w:space="720" w:num="1"/>
          <w:docGrid w:linePitch="360" w:charSpace="0"/>
        </w:sectPr>
      </w:pPr>
    </w:p>
    <w:p w14:paraId="7E4DAF2F">
      <w:pPr>
        <w:pStyle w:val="12"/>
        <w:keepNext/>
        <w:keepLines/>
        <w:shd w:val="clear" w:color="auto" w:fill="auto"/>
        <w:tabs>
          <w:tab w:val="left" w:pos="2449"/>
        </w:tabs>
        <w:spacing w:before="0" w:after="0" w:line="240" w:lineRule="exact"/>
        <w:rPr>
          <w:b/>
          <w:color w:val="auto"/>
        </w:rPr>
      </w:pPr>
      <w:bookmarkStart w:id="0" w:name="bookmark2"/>
      <w:r>
        <w:rPr>
          <w:b/>
          <w:color w:val="auto"/>
        </w:rPr>
        <w:t>1. Основные термины и определения аукциона</w:t>
      </w:r>
      <w:bookmarkEnd w:id="0"/>
    </w:p>
    <w:p w14:paraId="28BBDA1C">
      <w:pPr>
        <w:pStyle w:val="10"/>
        <w:shd w:val="clear" w:color="auto" w:fill="auto"/>
        <w:spacing w:after="0" w:line="274" w:lineRule="exact"/>
        <w:ind w:firstLine="740"/>
        <w:jc w:val="both"/>
        <w:rPr>
          <w:b/>
          <w:color w:val="auto"/>
        </w:rPr>
      </w:pPr>
    </w:p>
    <w:p w14:paraId="0546A267">
      <w:pPr>
        <w:pStyle w:val="1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Организатор торгов / Уполномоченный орган</w:t>
      </w:r>
      <w:r>
        <w:rPr>
          <w:color w:val="auto"/>
        </w:rPr>
        <w:t xml:space="preserve"> – администрация муниципального образования «Усть-Коксинский район» Республики Алтай </w:t>
      </w:r>
    </w:p>
    <w:p w14:paraId="01D0F482">
      <w:pPr>
        <w:pStyle w:val="1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Аукционная документация </w:t>
      </w:r>
      <w:r>
        <w:rPr>
          <w:color w:val="auto"/>
        </w:rPr>
        <w:t>- комплект документов, утвержденный Организатором торгов, содержащий информацию о предмете аукциона, условиях и порядке его проведения, условиях и сроке подписания договора аренды, проект договора аренды.</w:t>
      </w:r>
    </w:p>
    <w:p w14:paraId="4840BD59">
      <w:pPr>
        <w:pStyle w:val="1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Заявитель </w:t>
      </w:r>
      <w:r>
        <w:rPr>
          <w:color w:val="auto"/>
        </w:rPr>
        <w:t>-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14:paraId="76ACD9EB">
      <w:pPr>
        <w:pStyle w:val="1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Заявка на участие в аукционе </w:t>
      </w:r>
      <w:r>
        <w:rPr>
          <w:color w:val="auto"/>
        </w:rPr>
        <w:t>- является акцептом оферты, содержание которого соответствует условиям, установленным документацией об аукционе, и поданным в срок и по форме, также установленным документацией об аукционе.</w:t>
      </w:r>
    </w:p>
    <w:p w14:paraId="6031145D">
      <w:pPr>
        <w:pStyle w:val="1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Участник аукциона</w:t>
      </w:r>
      <w:r>
        <w:rPr>
          <w:color w:val="auto"/>
        </w:rPr>
        <w:t xml:space="preserve"> -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14:paraId="55E727B3">
      <w:pPr>
        <w:pStyle w:val="1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Победитель аукциона</w:t>
      </w:r>
      <w:r>
        <w:rPr>
          <w:color w:val="auto"/>
        </w:rPr>
        <w:t xml:space="preserve"> -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14:paraId="1FEAD7CB">
      <w:pPr>
        <w:pStyle w:val="1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Оператор электронной</w:t>
      </w:r>
      <w:r>
        <w:rPr>
          <w:color w:val="auto"/>
        </w:rPr>
        <w:t xml:space="preserve"> </w:t>
      </w:r>
      <w:r>
        <w:rPr>
          <w:b/>
          <w:color w:val="auto"/>
        </w:rPr>
        <w:t>площадки</w:t>
      </w:r>
      <w:r>
        <w:rPr>
          <w:color w:val="auto"/>
        </w:rPr>
        <w:t xml:space="preserve"> - юридическое лицо, владеющее сайтом в информационно-телекоммуникационной сети «Интернет» (далее - электронная площадка).</w:t>
      </w:r>
    </w:p>
    <w:p w14:paraId="0F655174">
      <w:pPr>
        <w:pStyle w:val="1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Регистрация на электронной площадке</w:t>
      </w:r>
      <w:r>
        <w:rPr>
          <w:color w:val="auto"/>
        </w:rPr>
        <w:t xml:space="preserve"> -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14:paraId="3CF2864A">
      <w:pPr>
        <w:pStyle w:val="1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Открытая часть электронной площадки</w:t>
      </w:r>
      <w:r>
        <w:rPr>
          <w:color w:val="auto"/>
        </w:rPr>
        <w:t xml:space="preserve"> -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3F1692BC">
      <w:pPr>
        <w:pStyle w:val="1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Закрытая часть электронной площадки</w:t>
      </w:r>
      <w:r>
        <w:rPr>
          <w:color w:val="auto"/>
        </w:rPr>
        <w:t xml:space="preserve"> - раздел электронной площадки, доступ к которому имеют только зарегистрированные на электронной площадке Организатор торгов и заявители, позволяющий пользователям получить доступ к информации и выполнять определенные действия.</w:t>
      </w:r>
    </w:p>
    <w:p w14:paraId="60080592">
      <w:pPr>
        <w:pStyle w:val="1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Личный кабинет</w:t>
      </w:r>
      <w:r>
        <w:rPr>
          <w:color w:val="auto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2ECA929F">
      <w:pPr>
        <w:pStyle w:val="1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Электронный аукцион</w:t>
      </w:r>
      <w:r>
        <w:rPr>
          <w:color w:val="auto"/>
        </w:rPr>
        <w:t xml:space="preserve"> - аукцион, проводящийся посредством интернета, на специализированных сайтах электронных торговых площадок.</w:t>
      </w:r>
    </w:p>
    <w:p w14:paraId="2C67BCC6">
      <w:pPr>
        <w:pStyle w:val="1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Электронный документ</w:t>
      </w:r>
      <w:r>
        <w:rPr>
          <w:color w:val="auto"/>
        </w:rPr>
        <w:t xml:space="preserve"> -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14:paraId="22C1B7B2">
      <w:pPr>
        <w:pStyle w:val="1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Электронный образ документа</w:t>
      </w:r>
      <w:r>
        <w:rPr>
          <w:color w:val="auto"/>
        </w:rPr>
        <w:t xml:space="preserve"> -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7CB0F13E">
      <w:pPr>
        <w:pStyle w:val="1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Электронное сообщение (электронное уведомление)</w:t>
      </w:r>
      <w:r>
        <w:rPr>
          <w:color w:val="auto"/>
        </w:rPr>
        <w:t xml:space="preserve"> - любое распорядительное или информационное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14:paraId="2B23BF9A">
      <w:pPr>
        <w:pStyle w:val="1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Электронный журнал</w:t>
      </w:r>
      <w:r>
        <w:rPr>
          <w:color w:val="auto"/>
        </w:rPr>
        <w:t xml:space="preserve"> - электронный документ, в котором Оператором посредством программных и технических средств электронной площадки фиксируется ход проведения процедуры аукциона в электронной форме.</w:t>
      </w:r>
    </w:p>
    <w:p w14:paraId="09B61C30">
      <w:pPr>
        <w:pStyle w:val="1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Электронная подпись (ЭП)</w:t>
      </w:r>
      <w:r>
        <w:rPr>
          <w:color w:val="auto"/>
        </w:rPr>
        <w:t xml:space="preserve"> -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0C74EEFE">
      <w:pPr>
        <w:pStyle w:val="1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Официальные сайты</w:t>
      </w:r>
      <w:r>
        <w:rPr>
          <w:color w:val="auto"/>
        </w:rPr>
        <w:t xml:space="preserve"> </w:t>
      </w:r>
      <w:r>
        <w:rPr>
          <w:b/>
          <w:color w:val="auto"/>
        </w:rPr>
        <w:t>торгов</w:t>
      </w:r>
      <w:r>
        <w:rPr>
          <w:color w:val="auto"/>
        </w:rPr>
        <w:t xml:space="preserve"> - официальный сайт Российской Федерации для размещения информации о проведении торгов – ГИС «Торги» (</w:t>
      </w:r>
      <w:r>
        <w:fldChar w:fldCharType="begin"/>
      </w:r>
      <w:r>
        <w:instrText xml:space="preserve"> HYPERLINK </w:instrText>
      </w:r>
      <w:r>
        <w:fldChar w:fldCharType="separate"/>
      </w:r>
      <w:r>
        <w:rPr>
          <w:rStyle w:val="6"/>
          <w:color w:val="auto"/>
        </w:rPr>
        <w:t xml:space="preserve"> </w:t>
      </w:r>
      <w:r>
        <w:rPr>
          <w:rStyle w:val="6"/>
          <w:color w:val="auto"/>
          <w:lang w:val="en-US" w:eastAsia="en-US" w:bidi="en-US"/>
        </w:rPr>
        <w:t>www</w:t>
      </w:r>
      <w:r>
        <w:rPr>
          <w:rStyle w:val="6"/>
          <w:color w:val="auto"/>
          <w:lang w:eastAsia="en-US" w:bidi="en-US"/>
        </w:rPr>
        <w:t>.</w:t>
      </w:r>
      <w:r>
        <w:rPr>
          <w:rStyle w:val="6"/>
          <w:color w:val="auto"/>
          <w:lang w:val="en-US" w:eastAsia="en-US" w:bidi="en-US"/>
        </w:rPr>
        <w:t>torgi</w:t>
      </w:r>
      <w:r>
        <w:rPr>
          <w:rStyle w:val="6"/>
          <w:color w:val="auto"/>
          <w:lang w:eastAsia="en-US" w:bidi="en-US"/>
        </w:rPr>
        <w:t>.</w:t>
      </w:r>
      <w:r>
        <w:rPr>
          <w:rStyle w:val="6"/>
          <w:color w:val="auto"/>
          <w:lang w:val="en-US" w:eastAsia="en-US" w:bidi="en-US"/>
        </w:rPr>
        <w:t>gov</w:t>
      </w:r>
      <w:r>
        <w:rPr>
          <w:rStyle w:val="6"/>
          <w:color w:val="auto"/>
          <w:lang w:eastAsia="en-US" w:bidi="en-US"/>
        </w:rPr>
        <w:t>.</w:t>
      </w:r>
      <w:r>
        <w:rPr>
          <w:rStyle w:val="6"/>
          <w:color w:val="auto"/>
          <w:lang w:val="en-US" w:eastAsia="en-US" w:bidi="en-US"/>
        </w:rPr>
        <w:t>ru</w:t>
      </w:r>
      <w:r>
        <w:rPr>
          <w:rStyle w:val="6"/>
          <w:color w:val="auto"/>
          <w:lang w:eastAsia="en-US" w:bidi="en-US"/>
        </w:rPr>
        <w:t>.</w:t>
      </w:r>
      <w:r>
        <w:rPr>
          <w:rStyle w:val="6"/>
          <w:color w:val="auto"/>
          <w:lang w:eastAsia="en-US" w:bidi="en-US"/>
        </w:rPr>
        <w:fldChar w:fldCharType="end"/>
      </w:r>
      <w:r>
        <w:rPr>
          <w:rStyle w:val="6"/>
          <w:color w:val="auto"/>
          <w:lang w:eastAsia="en-US" w:bidi="en-US"/>
        </w:rPr>
        <w:t>)</w:t>
      </w:r>
      <w:r>
        <w:rPr>
          <w:color w:val="auto"/>
          <w:lang w:eastAsia="en-US" w:bidi="en-US"/>
        </w:rPr>
        <w:t xml:space="preserve">, </w:t>
      </w:r>
      <w:r>
        <w:rPr>
          <w:color w:val="auto"/>
          <w:lang w:bidi="ar-SA"/>
        </w:rPr>
        <w:t xml:space="preserve">сайт в информационно-телекоммуникационной сети "Интернет", на котором проводится электронный аукцион по продаже земельного участка, находящегося в государственной или муниципальной собственности, либо электронный аукцион на право заключения договора аренды такого участка (далее - электронная площадка) - </w:t>
      </w:r>
      <w:r>
        <w:rPr>
          <w:color w:val="auto"/>
        </w:rPr>
        <w:t>ООО «РТС-тендер» (</w:t>
      </w:r>
      <w:r>
        <w:fldChar w:fldCharType="begin"/>
      </w:r>
      <w:r>
        <w:instrText xml:space="preserve"> HYPERLINK "http://www.rts-tender.ru)." </w:instrText>
      </w:r>
      <w:r>
        <w:fldChar w:fldCharType="separate"/>
      </w:r>
      <w:r>
        <w:rPr>
          <w:rStyle w:val="6"/>
          <w:color w:val="auto"/>
        </w:rPr>
        <w:t>www.rts-tender.ru)</w:t>
      </w:r>
      <w:r>
        <w:rPr>
          <w:rStyle w:val="6"/>
          <w:color w:val="auto"/>
          <w:lang w:eastAsia="en-US" w:bidi="en-US"/>
        </w:rPr>
        <w:t>.</w:t>
      </w:r>
      <w:r>
        <w:rPr>
          <w:rStyle w:val="6"/>
          <w:color w:val="auto"/>
          <w:lang w:eastAsia="en-US" w:bidi="en-US"/>
        </w:rPr>
        <w:fldChar w:fldCharType="end"/>
      </w:r>
    </w:p>
    <w:p w14:paraId="7D014AD4">
      <w:pPr>
        <w:pStyle w:val="1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Форма проведения торгов</w:t>
      </w:r>
      <w:r>
        <w:rPr>
          <w:color w:val="auto"/>
        </w:rPr>
        <w:t xml:space="preserve"> - аукцион в электронной форме с открытой формой подачи предложений о цене.</w:t>
      </w:r>
    </w:p>
    <w:p w14:paraId="35A0AEF0">
      <w:pPr>
        <w:pStyle w:val="1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</w:p>
    <w:p w14:paraId="7063F3D8">
      <w:pPr>
        <w:pStyle w:val="1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</w:rPr>
        <w:t>Условия аукциона, порядок и условия заключения договора аренды с Участником аукциона являются условиями публичной оферты, а подача заявки на участие в аукционе является акцептом такой оферты.</w:t>
      </w:r>
    </w:p>
    <w:p w14:paraId="0A32E797">
      <w:pPr>
        <w:pStyle w:val="10"/>
        <w:shd w:val="clear" w:color="auto" w:fill="auto"/>
        <w:spacing w:after="0" w:line="274" w:lineRule="exact"/>
        <w:ind w:firstLine="740"/>
        <w:jc w:val="both"/>
        <w:rPr>
          <w:color w:val="auto"/>
        </w:rPr>
      </w:pPr>
    </w:p>
    <w:p w14:paraId="458E8A52">
      <w:pPr>
        <w:pStyle w:val="12"/>
        <w:keepNext/>
        <w:keepLines/>
        <w:shd w:val="clear" w:color="auto" w:fill="auto"/>
        <w:tabs>
          <w:tab w:val="left" w:pos="2463"/>
        </w:tabs>
        <w:spacing w:before="0" w:after="0" w:line="274" w:lineRule="exact"/>
        <w:rPr>
          <w:b/>
          <w:color w:val="auto"/>
        </w:rPr>
      </w:pPr>
      <w:bookmarkStart w:id="1" w:name="bookmark3"/>
      <w:r>
        <w:rPr>
          <w:b/>
          <w:color w:val="auto"/>
        </w:rPr>
        <w:t>2. Общие положения и условия проведения аукциона</w:t>
      </w:r>
      <w:bookmarkEnd w:id="1"/>
    </w:p>
    <w:p w14:paraId="46C909FB">
      <w:pPr>
        <w:pStyle w:val="12"/>
        <w:keepNext/>
        <w:keepLines/>
        <w:shd w:val="clear" w:color="auto" w:fill="auto"/>
        <w:tabs>
          <w:tab w:val="left" w:pos="2463"/>
        </w:tabs>
        <w:spacing w:before="0" w:after="0" w:line="274" w:lineRule="exact"/>
        <w:rPr>
          <w:b/>
          <w:color w:val="auto"/>
        </w:rPr>
      </w:pPr>
    </w:p>
    <w:p w14:paraId="085D5884">
      <w:pPr>
        <w:pStyle w:val="40"/>
        <w:numPr>
          <w:ilvl w:val="0"/>
          <w:numId w:val="1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hAnsi="Times New Roman" w:eastAsia="Times New Roman" w:cs="Times New Roman"/>
          <w:vanish/>
          <w:color w:val="auto"/>
        </w:rPr>
      </w:pPr>
    </w:p>
    <w:p w14:paraId="00196293">
      <w:pPr>
        <w:pStyle w:val="40"/>
        <w:numPr>
          <w:ilvl w:val="0"/>
          <w:numId w:val="1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hAnsi="Times New Roman" w:eastAsia="Times New Roman" w:cs="Times New Roman"/>
          <w:vanish/>
          <w:color w:val="auto"/>
        </w:rPr>
      </w:pPr>
    </w:p>
    <w:p w14:paraId="31BD8BD7">
      <w:pPr>
        <w:pStyle w:val="10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>Аукцион в электронной форме, открытый по форме подачи предложений о цене и открытого по составу участников проводится в соответствии с требованиями:</w:t>
      </w:r>
    </w:p>
    <w:p w14:paraId="4146CCA5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- Гражданского кодекса Российской Федерации;</w:t>
      </w:r>
    </w:p>
    <w:p w14:paraId="5425B7DF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- Земельного кодекса Российской Федерации;</w:t>
      </w:r>
    </w:p>
    <w:p w14:paraId="460BCF5C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- Федерального закона от 26.07.2006 № 135-ФЗ «О защите конкуренции»;</w:t>
      </w:r>
    </w:p>
    <w:p w14:paraId="27C3476D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- Распоряжением Правительства Российской Федерации от 12 июля 2018 года 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года № 44-ФЗ, от 18.07.2011 № 223-ФЗ».</w:t>
      </w:r>
    </w:p>
    <w:p w14:paraId="0D3752D9">
      <w:pPr>
        <w:pStyle w:val="10"/>
        <w:shd w:val="clear" w:color="auto" w:fill="auto"/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>Во всем, что не предусмотрено настоящей документацией, необходимо руководствоваться указанными нормативно-правовыми актами.</w:t>
      </w:r>
    </w:p>
    <w:p w14:paraId="1E71FCC4">
      <w:pPr>
        <w:pStyle w:val="10"/>
        <w:numPr>
          <w:ilvl w:val="1"/>
          <w:numId w:val="1"/>
        </w:numPr>
        <w:shd w:val="clear" w:color="auto" w:fill="auto"/>
        <w:tabs>
          <w:tab w:val="left" w:pos="1191"/>
        </w:tabs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>Организатором аукциона является администрация муниципального образования «Усть-Коксинский район» Республики Алтай.</w:t>
      </w:r>
    </w:p>
    <w:p w14:paraId="2EB2C0D6">
      <w:pPr>
        <w:pStyle w:val="10"/>
        <w:widowControl/>
        <w:shd w:val="clear" w:color="auto" w:fill="auto"/>
        <w:tabs>
          <w:tab w:val="left" w:pos="119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auto"/>
          <w:lang w:bidi="ar-SA"/>
        </w:rPr>
      </w:pPr>
      <w:r>
        <w:rPr>
          <w:color w:val="auto"/>
        </w:rPr>
        <w:t>2.3. Организатор торгов организует и проводит торги в форме электронного аукциона, открытого по составу участников и по форме подачи предложений о цене, на право заключения договора аренды земельных участков, государственная собственность на которые не разграничена (далее – Участки).</w:t>
      </w:r>
    </w:p>
    <w:p w14:paraId="1AA9D7BE">
      <w:pPr>
        <w:pStyle w:val="10"/>
        <w:widowControl/>
        <w:shd w:val="clear" w:color="auto" w:fill="auto"/>
        <w:tabs>
          <w:tab w:val="left" w:pos="119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auto"/>
          <w:lang w:bidi="ar-SA"/>
        </w:rPr>
      </w:pPr>
      <w:r>
        <w:rPr>
          <w:color w:val="auto"/>
          <w:lang w:bidi="ar-SA"/>
        </w:rPr>
        <w:t xml:space="preserve">2.4. Начальной ценой предмета аукциона по продаже земельного участка является по выбору уполномоченного органа рыночная стоимость такого земельного участка, определенная в соответствии с Федеральным </w:t>
      </w:r>
      <w:r>
        <w:fldChar w:fldCharType="begin"/>
      </w:r>
      <w:r>
        <w:instrText xml:space="preserve"> HYPERLINK "https://login.consultant.ru/link/?req=doc&amp;base=LAW&amp;n=469787" </w:instrText>
      </w:r>
      <w:r>
        <w:fldChar w:fldCharType="separate"/>
      </w:r>
      <w:r>
        <w:rPr>
          <w:color w:val="auto"/>
          <w:lang w:bidi="ar-SA"/>
        </w:rPr>
        <w:t>законом</w:t>
      </w:r>
      <w:r>
        <w:rPr>
          <w:color w:val="auto"/>
          <w:lang w:bidi="ar-SA"/>
        </w:rPr>
        <w:fldChar w:fldCharType="end"/>
      </w:r>
      <w:r>
        <w:rPr>
          <w:color w:val="auto"/>
          <w:lang w:bidi="ar-SA"/>
        </w:rPr>
        <w:t xml:space="preserve"> от 29 июля 1998 года N 135-ФЗ "Об оценочной деятельности в Российской Федерации" (далее - Федеральный закон "Об оценочной деятельности в Российской Федерации"), или кадастровая стоимость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</w:p>
    <w:p w14:paraId="26286D47">
      <w:pPr>
        <w:pStyle w:val="10"/>
        <w:widowControl/>
        <w:shd w:val="clear" w:color="auto" w:fill="auto"/>
        <w:tabs>
          <w:tab w:val="left" w:pos="1134"/>
          <w:tab w:val="left" w:pos="119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auto"/>
          <w:lang w:bidi="ar-SA"/>
        </w:rPr>
      </w:pPr>
      <w:r>
        <w:rPr>
          <w:color w:val="auto"/>
          <w:lang w:bidi="ar-SA"/>
        </w:rPr>
        <w:t xml:space="preserve">2.5. Начальная цена предмета аукциона на право заключения договора аренды земельного участка устанавливается по выбору уполномоченного органа в размере ежегодной арендной платы, определенной по результатам рыночной оценки в соответствии с Федеральным </w:t>
      </w:r>
      <w:r>
        <w:fldChar w:fldCharType="begin"/>
      </w:r>
      <w:r>
        <w:instrText xml:space="preserve"> HYPERLINK "https://login.consultant.ru/link/?req=doc&amp;base=LAW&amp;n=469787" </w:instrText>
      </w:r>
      <w:r>
        <w:fldChar w:fldCharType="separate"/>
      </w:r>
      <w:r>
        <w:rPr>
          <w:color w:val="auto"/>
          <w:lang w:bidi="ar-SA"/>
        </w:rPr>
        <w:t>законом</w:t>
      </w:r>
      <w:r>
        <w:rPr>
          <w:color w:val="auto"/>
          <w:lang w:bidi="ar-SA"/>
        </w:rPr>
        <w:fldChar w:fldCharType="end"/>
      </w:r>
      <w:r>
        <w:rPr>
          <w:color w:val="auto"/>
          <w:lang w:bidi="ar-SA"/>
        </w:rPr>
        <w:t xml:space="preserve"> "Об оценочной деятельности в Российской Федерации", или в размере не менее полутора процентов кадастровой стоимости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</w:p>
    <w:p w14:paraId="4CA313FE">
      <w:pPr>
        <w:pStyle w:val="10"/>
        <w:numPr>
          <w:ilvl w:val="1"/>
          <w:numId w:val="2"/>
        </w:numPr>
        <w:shd w:val="clear" w:color="auto" w:fill="auto"/>
        <w:tabs>
          <w:tab w:val="left" w:pos="1134"/>
          <w:tab w:val="left" w:pos="1196"/>
        </w:tabs>
        <w:spacing w:after="0" w:line="240" w:lineRule="auto"/>
        <w:ind w:left="0" w:firstLine="567"/>
        <w:jc w:val="both"/>
        <w:rPr>
          <w:color w:val="auto"/>
        </w:rPr>
      </w:pPr>
      <w:r>
        <w:rPr>
          <w:color w:val="auto"/>
          <w:lang w:bidi="ar-SA"/>
        </w:rPr>
        <w:t>Начальная цена предмета аукциона</w:t>
      </w:r>
      <w:r>
        <w:rPr>
          <w:color w:val="auto"/>
        </w:rPr>
        <w:t xml:space="preserve"> устанавливается без учета НДС.</w:t>
      </w:r>
    </w:p>
    <w:p w14:paraId="2742D024">
      <w:pPr>
        <w:pStyle w:val="10"/>
        <w:numPr>
          <w:ilvl w:val="1"/>
          <w:numId w:val="2"/>
        </w:numPr>
        <w:shd w:val="clear" w:color="auto" w:fill="auto"/>
        <w:tabs>
          <w:tab w:val="left" w:pos="1042"/>
          <w:tab w:val="left" w:pos="1134"/>
        </w:tabs>
        <w:spacing w:after="0" w:line="240" w:lineRule="auto"/>
        <w:ind w:left="0" w:firstLine="567"/>
        <w:jc w:val="both"/>
        <w:rPr>
          <w:color w:val="auto"/>
        </w:rPr>
      </w:pPr>
      <w:r>
        <w:rPr>
          <w:color w:val="auto"/>
        </w:rPr>
        <w:t>Критерием выбора победителя аукциона является наибольшая величина предложенной участником годовой арендной платы за земельный участок.</w:t>
      </w:r>
    </w:p>
    <w:p w14:paraId="4937B8E3">
      <w:pPr>
        <w:pStyle w:val="1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40" w:lineRule="auto"/>
        <w:ind w:left="0" w:firstLine="567"/>
        <w:jc w:val="both"/>
        <w:rPr>
          <w:color w:val="auto"/>
        </w:rPr>
      </w:pPr>
      <w:r>
        <w:rPr>
          <w:color w:val="auto"/>
        </w:rPr>
        <w:t>Извещение о проведении аукциона размещается на официальном сайте 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Федерации:</w:t>
      </w:r>
      <w:r>
        <w:fldChar w:fldCharType="begin"/>
      </w:r>
      <w:r>
        <w:instrText xml:space="preserve"> HYPERLINK </w:instrText>
      </w:r>
      <w:r>
        <w:fldChar w:fldCharType="separate"/>
      </w:r>
      <w:r>
        <w:rPr>
          <w:rStyle w:val="6"/>
          <w:color w:val="auto"/>
        </w:rPr>
        <w:t xml:space="preserve"> www.torgi.gov.ru,</w:t>
      </w:r>
      <w:r>
        <w:rPr>
          <w:rStyle w:val="6"/>
          <w:color w:val="auto"/>
        </w:rPr>
        <w:fldChar w:fldCharType="end"/>
      </w:r>
      <w:r>
        <w:rPr>
          <w:color w:val="auto"/>
        </w:rPr>
        <w:t xml:space="preserve"> </w:t>
      </w:r>
      <w:r>
        <w:fldChar w:fldCharType="begin"/>
      </w:r>
      <w:r>
        <w:instrText xml:space="preserve"> HYPERLINK "http://www.rts-tender.ru" </w:instrText>
      </w:r>
      <w:r>
        <w:fldChar w:fldCharType="separate"/>
      </w:r>
      <w:r>
        <w:rPr>
          <w:rStyle w:val="6"/>
          <w:color w:val="auto"/>
        </w:rPr>
        <w:t>www.rts-tender.ru</w:t>
      </w:r>
      <w:r>
        <w:rPr>
          <w:rStyle w:val="6"/>
          <w:color w:val="auto"/>
        </w:rPr>
        <w:fldChar w:fldCharType="end"/>
      </w:r>
      <w:r>
        <w:rPr>
          <w:color w:val="auto"/>
          <w:lang w:eastAsia="en-US" w:bidi="en-US"/>
        </w:rPr>
        <w:t xml:space="preserve">, </w:t>
      </w:r>
      <w:r>
        <w:rPr>
          <w:color w:val="auto"/>
        </w:rPr>
        <w:t xml:space="preserve">на официальном сайте </w:t>
      </w:r>
      <w:r>
        <w:rPr>
          <w:rFonts w:eastAsia="Calibri"/>
          <w:color w:val="auto"/>
          <w:lang w:eastAsia="ar-SA"/>
        </w:rPr>
        <w:t>а</w:t>
      </w:r>
      <w:r>
        <w:rPr>
          <w:color w:val="auto"/>
        </w:rPr>
        <w:t xml:space="preserve">дминистрации МО «Усть-Коксинский район» </w:t>
      </w:r>
      <w:r>
        <w:fldChar w:fldCharType="begin"/>
      </w:r>
      <w:r>
        <w:instrText xml:space="preserve"> HYPERLINK "https://ust-koksa-altay.ru/" </w:instrText>
      </w:r>
      <w:r>
        <w:fldChar w:fldCharType="separate"/>
      </w:r>
      <w:r>
        <w:rPr>
          <w:rStyle w:val="6"/>
          <w:color w:val="auto"/>
        </w:rPr>
        <w:t>https://ust-koksa-altay.ru/</w:t>
      </w:r>
      <w:r>
        <w:rPr>
          <w:rStyle w:val="6"/>
          <w:color w:val="auto"/>
        </w:rPr>
        <w:fldChar w:fldCharType="end"/>
      </w:r>
      <w:r>
        <w:rPr>
          <w:rStyle w:val="6"/>
          <w:color w:val="auto"/>
        </w:rPr>
        <w:t>.</w:t>
      </w:r>
    </w:p>
    <w:p w14:paraId="13E112A6">
      <w:pPr>
        <w:pStyle w:val="10"/>
        <w:numPr>
          <w:ilvl w:val="1"/>
          <w:numId w:val="2"/>
        </w:numPr>
        <w:shd w:val="clear" w:color="auto" w:fill="auto"/>
        <w:tabs>
          <w:tab w:val="left" w:pos="1186"/>
        </w:tabs>
        <w:spacing w:after="0" w:line="240" w:lineRule="auto"/>
        <w:ind w:left="0" w:firstLine="567"/>
        <w:jc w:val="both"/>
        <w:rPr>
          <w:color w:val="auto"/>
        </w:rPr>
      </w:pPr>
      <w:r>
        <w:rPr>
          <w:color w:val="auto"/>
        </w:rPr>
        <w:t>Все суммы денежных средств в открытом аукционе выражены в валюте: российский рубль. Использование другой валюты не допускается.</w:t>
      </w:r>
    </w:p>
    <w:p w14:paraId="3BE8A823">
      <w:pPr>
        <w:pStyle w:val="10"/>
        <w:shd w:val="clear" w:color="auto" w:fill="auto"/>
        <w:tabs>
          <w:tab w:val="left" w:pos="1186"/>
        </w:tabs>
        <w:spacing w:after="0" w:line="274" w:lineRule="exact"/>
        <w:ind w:left="567" w:firstLine="0"/>
        <w:jc w:val="both"/>
        <w:rPr>
          <w:color w:val="auto"/>
        </w:rPr>
      </w:pPr>
    </w:p>
    <w:p w14:paraId="44B6C7BE">
      <w:pPr>
        <w:pStyle w:val="10"/>
        <w:shd w:val="clear" w:color="auto" w:fill="auto"/>
        <w:tabs>
          <w:tab w:val="left" w:pos="1186"/>
        </w:tabs>
        <w:spacing w:after="0" w:line="274" w:lineRule="exact"/>
        <w:ind w:left="567" w:firstLine="0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3. Основание проведения торгов</w:t>
      </w:r>
    </w:p>
    <w:p w14:paraId="1893BE4B">
      <w:pPr>
        <w:ind w:firstLine="709"/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color w:val="auto"/>
        </w:rPr>
        <w:t xml:space="preserve">3.1. Основанием проведения торгов является </w:t>
      </w:r>
      <w:r>
        <w:rPr>
          <w:rFonts w:ascii="Times New Roman" w:hAnsi="Times New Roman" w:eastAsia="Calibri" w:cs="Times New Roman"/>
          <w:b/>
          <w:bCs/>
          <w:color w:val="auto"/>
          <w:lang w:eastAsia="ar-SA"/>
        </w:rPr>
        <w:t>постановление а</w:t>
      </w:r>
      <w:r>
        <w:rPr>
          <w:rFonts w:ascii="Times New Roman" w:hAnsi="Times New Roman" w:cs="Times New Roman"/>
          <w:b/>
          <w:bCs/>
          <w:color w:val="auto"/>
        </w:rPr>
        <w:t>дминистрации МО «Усть-Коксинский район» от</w:t>
      </w:r>
      <w:r>
        <w:rPr>
          <w:rFonts w:hint="default" w:ascii="Times New Roman" w:hAnsi="Times New Roman" w:cs="Times New Roman"/>
          <w:b/>
          <w:bCs/>
          <w:color w:val="auto"/>
          <w:lang w:val="ru-RU"/>
        </w:rPr>
        <w:t xml:space="preserve"> 09.07.</w:t>
      </w:r>
      <w:r>
        <w:rPr>
          <w:rFonts w:ascii="Times New Roman" w:hAnsi="Times New Roman" w:cs="Times New Roman"/>
          <w:b/>
          <w:bCs/>
          <w:color w:val="auto"/>
        </w:rPr>
        <w:t xml:space="preserve">2025 г. № </w:t>
      </w:r>
      <w:r>
        <w:rPr>
          <w:rFonts w:hint="default" w:ascii="Times New Roman" w:hAnsi="Times New Roman" w:cs="Times New Roman"/>
          <w:b/>
          <w:bCs/>
          <w:color w:val="auto"/>
          <w:lang w:val="ru-RU"/>
        </w:rPr>
        <w:t>461/1</w:t>
      </w:r>
      <w:r>
        <w:rPr>
          <w:rFonts w:ascii="Times New Roman" w:hAnsi="Times New Roman" w:cs="Times New Roman"/>
          <w:b/>
          <w:bCs/>
          <w:color w:val="auto"/>
        </w:rPr>
        <w:t>.</w:t>
      </w:r>
    </w:p>
    <w:p w14:paraId="7F056366">
      <w:pPr>
        <w:pStyle w:val="10"/>
        <w:shd w:val="clear" w:color="auto" w:fill="auto"/>
        <w:tabs>
          <w:tab w:val="left" w:pos="1186"/>
        </w:tabs>
        <w:spacing w:after="0" w:line="274" w:lineRule="exact"/>
        <w:ind w:left="567" w:firstLine="0"/>
        <w:jc w:val="both"/>
        <w:rPr>
          <w:color w:val="auto"/>
        </w:rPr>
      </w:pPr>
    </w:p>
    <w:p w14:paraId="14B804B5">
      <w:pPr>
        <w:pStyle w:val="10"/>
        <w:shd w:val="clear" w:color="auto" w:fill="auto"/>
        <w:tabs>
          <w:tab w:val="left" w:pos="284"/>
        </w:tabs>
        <w:spacing w:after="0" w:line="240" w:lineRule="auto"/>
        <w:ind w:firstLine="0"/>
        <w:jc w:val="center"/>
        <w:rPr>
          <w:b/>
          <w:color w:val="auto"/>
        </w:rPr>
      </w:pPr>
      <w:r>
        <w:rPr>
          <w:b/>
          <w:color w:val="auto"/>
        </w:rPr>
        <w:t>4.Сведения о предмете аукциона</w:t>
      </w:r>
    </w:p>
    <w:p w14:paraId="195052F1">
      <w:pPr>
        <w:pStyle w:val="10"/>
        <w:shd w:val="clear" w:color="auto" w:fill="auto"/>
        <w:spacing w:after="0" w:line="240" w:lineRule="auto"/>
        <w:ind w:firstLine="567"/>
        <w:jc w:val="both"/>
        <w:rPr>
          <w:color w:val="auto"/>
        </w:rPr>
      </w:pPr>
      <w:r>
        <w:rPr>
          <w:rStyle w:val="13"/>
          <w:b/>
          <w:color w:val="auto"/>
          <w:u w:val="none"/>
        </w:rPr>
        <w:t xml:space="preserve">4.1. </w:t>
      </w:r>
      <w:r>
        <w:rPr>
          <w:rStyle w:val="13"/>
          <w:color w:val="auto"/>
          <w:u w:val="none"/>
        </w:rPr>
        <w:t>Предметом аукциона является право на заключение д</w:t>
      </w:r>
      <w:r>
        <w:rPr>
          <w:color w:val="auto"/>
        </w:rPr>
        <w:t xml:space="preserve">оговоров аренды земельных участков на условиях, предусмотренных проектом договора аренды, </w:t>
      </w:r>
      <w:r>
        <w:rPr>
          <w:rStyle w:val="13"/>
          <w:color w:val="auto"/>
          <w:u w:val="none"/>
        </w:rPr>
        <w:t>для использования в соответствии с целью их предоставления</w:t>
      </w:r>
      <w:r>
        <w:rPr>
          <w:color w:val="auto"/>
        </w:rPr>
        <w:t>.</w:t>
      </w:r>
    </w:p>
    <w:p w14:paraId="420EF49E">
      <w:pPr>
        <w:pStyle w:val="10"/>
        <w:shd w:val="clear" w:color="auto" w:fill="auto"/>
        <w:tabs>
          <w:tab w:val="left" w:pos="1081"/>
        </w:tabs>
        <w:spacing w:after="0" w:line="240" w:lineRule="auto"/>
        <w:ind w:firstLine="567"/>
        <w:jc w:val="both"/>
        <w:rPr>
          <w:b/>
          <w:color w:val="auto"/>
        </w:rPr>
      </w:pPr>
    </w:p>
    <w:p w14:paraId="17F3CFFD">
      <w:pPr>
        <w:pStyle w:val="10"/>
        <w:shd w:val="clear" w:color="auto" w:fill="auto"/>
        <w:tabs>
          <w:tab w:val="left" w:pos="1081"/>
        </w:tabs>
        <w:spacing w:after="0" w:line="240" w:lineRule="auto"/>
        <w:ind w:firstLine="567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Общая информация по Лотам:</w:t>
      </w:r>
    </w:p>
    <w:p w14:paraId="16CE8E78">
      <w:pPr>
        <w:pStyle w:val="10"/>
        <w:shd w:val="clear" w:color="auto" w:fill="auto"/>
        <w:spacing w:after="0" w:line="240" w:lineRule="exact"/>
        <w:ind w:firstLine="567"/>
        <w:jc w:val="both"/>
        <w:rPr>
          <w:b/>
          <w:color w:val="auto"/>
        </w:rPr>
      </w:pPr>
      <w:r>
        <w:rPr>
          <w:color w:val="auto"/>
        </w:rPr>
        <w:t xml:space="preserve">     </w:t>
      </w:r>
    </w:p>
    <w:p w14:paraId="4AFFA24A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eastAsia="Times New Roman" w:cs="Times New Roman"/>
          <w:bCs/>
          <w:color w:val="auto"/>
          <w:lang w:bidi="ar-SA"/>
        </w:rPr>
      </w:pPr>
      <w:bookmarkStart w:id="2" w:name="_Hlk193633645"/>
      <w:r>
        <w:rPr>
          <w:rFonts w:ascii="Times New Roman" w:hAnsi="Times New Roman" w:eastAsia="Times New Roman" w:cs="Times New Roman"/>
          <w:b/>
          <w:color w:val="auto"/>
          <w:lang w:bidi="ar-SA"/>
        </w:rPr>
        <w:t>Лот № 1 -</w:t>
      </w:r>
      <w:r>
        <w:rPr>
          <w:rFonts w:ascii="Times New Roman" w:hAnsi="Times New Roman" w:eastAsia="Times New Roman" w:cs="Times New Roman"/>
          <w:bCs/>
          <w:color w:val="auto"/>
          <w:lang w:bidi="ar-SA"/>
        </w:rPr>
        <w:t xml:space="preserve">право на заключение договора аренды </w:t>
      </w:r>
      <w:r>
        <w:rPr>
          <w:rFonts w:ascii="Times New Roman" w:hAnsi="Times New Roman" w:eastAsia="Times New Roman" w:cs="Times New Roman"/>
          <w:color w:val="auto"/>
          <w:lang w:bidi="ar-SA"/>
        </w:rPr>
        <w:t xml:space="preserve">земельного участка, </w:t>
      </w:r>
      <w:r>
        <w:rPr>
          <w:rFonts w:ascii="Times New Roman" w:hAnsi="Times New Roman" w:eastAsia="Times New Roman" w:cs="Times New Roman"/>
          <w:bCs/>
          <w:color w:val="auto"/>
          <w:lang w:bidi="ar-SA"/>
        </w:rPr>
        <w:t>сроком 20 лет, относящегося к категории земель населенных пунктов, с кадастровым номером 04:08:0113</w:t>
      </w:r>
      <w:r>
        <w:rPr>
          <w:rFonts w:hint="default" w:ascii="Times New Roman" w:hAnsi="Times New Roman" w:eastAsia="Times New Roman" w:cs="Times New Roman"/>
          <w:bCs/>
          <w:color w:val="auto"/>
          <w:lang w:val="ru-RU" w:bidi="ar-SA"/>
        </w:rPr>
        <w:t>13:288</w:t>
      </w:r>
      <w:r>
        <w:rPr>
          <w:rFonts w:ascii="Times New Roman" w:hAnsi="Times New Roman" w:eastAsia="Times New Roman" w:cs="Times New Roman"/>
          <w:bCs/>
          <w:color w:val="auto"/>
          <w:lang w:bidi="ar-SA"/>
        </w:rPr>
        <w:t xml:space="preserve">, площадью </w:t>
      </w:r>
      <w:r>
        <w:rPr>
          <w:rFonts w:hint="default" w:ascii="Times New Roman" w:hAnsi="Times New Roman" w:eastAsia="Times New Roman" w:cs="Times New Roman"/>
          <w:bCs/>
          <w:color w:val="auto"/>
          <w:lang w:val="ru-RU" w:bidi="ar-SA"/>
        </w:rPr>
        <w:t xml:space="preserve">1500 </w:t>
      </w:r>
      <w:r>
        <w:rPr>
          <w:rFonts w:ascii="Times New Roman" w:hAnsi="Times New Roman" w:eastAsia="Times New Roman" w:cs="Times New Roman"/>
          <w:bCs/>
          <w:color w:val="auto"/>
          <w:lang w:bidi="ar-SA"/>
        </w:rPr>
        <w:t xml:space="preserve">кв. м, местоположение: </w:t>
      </w:r>
      <w:r>
        <w:rPr>
          <w:rFonts w:ascii="Times New Roman" w:hAnsi="Times New Roman" w:eastAsia="Times New Roman" w:cs="Times New Roman"/>
          <w:b/>
          <w:color w:val="auto"/>
          <w:lang w:bidi="ar-SA"/>
        </w:rPr>
        <w:t xml:space="preserve">Республика Алтай, Усть-Коксинский район, с. Усть-Кокса, </w:t>
      </w:r>
      <w:r>
        <w:rPr>
          <w:rFonts w:ascii="Times New Roman" w:hAnsi="Times New Roman" w:eastAsia="Times New Roman" w:cs="Times New Roman"/>
          <w:b/>
          <w:color w:val="auto"/>
          <w:lang w:val="ru-RU" w:bidi="ar-SA"/>
        </w:rPr>
        <w:t>пер</w:t>
      </w:r>
      <w:r>
        <w:rPr>
          <w:rFonts w:hint="default" w:ascii="Times New Roman" w:hAnsi="Times New Roman" w:eastAsia="Times New Roman" w:cs="Times New Roman"/>
          <w:b/>
          <w:color w:val="auto"/>
          <w:lang w:val="ru-RU" w:bidi="ar-SA"/>
        </w:rPr>
        <w:t>.Тихий</w:t>
      </w:r>
      <w:r>
        <w:rPr>
          <w:rFonts w:ascii="Times New Roman" w:hAnsi="Times New Roman" w:eastAsia="Times New Roman" w:cs="Times New Roman"/>
          <w:b/>
          <w:color w:val="auto"/>
          <w:lang w:bidi="ar-SA"/>
        </w:rPr>
        <w:t xml:space="preserve">, </w:t>
      </w:r>
      <w:r>
        <w:rPr>
          <w:rFonts w:hint="default" w:ascii="Times New Roman" w:hAnsi="Times New Roman" w:eastAsia="Times New Roman" w:cs="Times New Roman"/>
          <w:b/>
          <w:color w:val="auto"/>
          <w:lang w:val="ru-RU" w:bidi="ar-SA"/>
        </w:rPr>
        <w:t>12</w:t>
      </w:r>
      <w:r>
        <w:rPr>
          <w:rFonts w:ascii="Times New Roman" w:hAnsi="Times New Roman" w:eastAsia="Times New Roman" w:cs="Times New Roman"/>
          <w:bCs/>
          <w:color w:val="auto"/>
          <w:lang w:bidi="ar-SA"/>
        </w:rPr>
        <w:t>, с разрешённым использованием: для индивидуального жилищного строительства.</w:t>
      </w:r>
    </w:p>
    <w:p w14:paraId="16A151C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eastAsia="en-US" w:bidi="ar-SA"/>
        </w:rPr>
      </w:pPr>
      <w:r>
        <w:rPr>
          <w:rFonts w:ascii="Times New Roman" w:hAnsi="Times New Roman" w:eastAsia="Calibri" w:cs="Times New Roman"/>
          <w:b/>
          <w:bCs/>
          <w:color w:val="auto"/>
          <w:lang w:eastAsia="en-US" w:bidi="ar-SA"/>
        </w:rPr>
        <w:t>Сведения о правах на земельный участок</w:t>
      </w:r>
      <w:r>
        <w:rPr>
          <w:rFonts w:ascii="Times New Roman" w:hAnsi="Times New Roman" w:eastAsia="Calibri" w:cs="Times New Roman"/>
          <w:color w:val="auto"/>
          <w:lang w:eastAsia="en-US" w:bidi="ar-SA"/>
        </w:rPr>
        <w:t>: государственная неразграниченная собственность.</w:t>
      </w:r>
    </w:p>
    <w:p w14:paraId="6F7431B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eastAsia="en-US" w:bidi="ar-SA"/>
        </w:rPr>
      </w:pPr>
      <w:r>
        <w:rPr>
          <w:rFonts w:ascii="Times New Roman" w:hAnsi="Times New Roman" w:eastAsia="Calibri" w:cs="Times New Roman"/>
          <w:b/>
          <w:bCs/>
          <w:color w:val="auto"/>
          <w:lang w:eastAsia="en-US" w:bidi="ar-SA"/>
        </w:rPr>
        <w:t>Сведения об ограничениях прав</w:t>
      </w:r>
      <w:r>
        <w:rPr>
          <w:rFonts w:ascii="Times New Roman" w:hAnsi="Times New Roman" w:eastAsia="Calibri" w:cs="Times New Roman"/>
          <w:color w:val="auto"/>
          <w:lang w:eastAsia="en-US" w:bidi="ar-SA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отсутствуют.</w:t>
      </w:r>
    </w:p>
    <w:p w14:paraId="232D9F6A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b/>
          <w:color w:val="auto"/>
          <w:lang w:bidi="ar-SA"/>
        </w:rPr>
        <w:t xml:space="preserve">Сведения о максимально и (или) минимально допустимых параметрах разрешенного строительства </w:t>
      </w:r>
      <w:r>
        <w:rPr>
          <w:rFonts w:ascii="Times New Roman" w:hAnsi="Times New Roman" w:eastAsia="Calibri" w:cs="Times New Roman"/>
          <w:bCs/>
          <w:color w:val="auto"/>
          <w:lang w:bidi="ar-SA"/>
        </w:rPr>
        <w:t>объекта капитального строительства</w:t>
      </w:r>
      <w:r>
        <w:rPr>
          <w:rFonts w:ascii="Times New Roman" w:hAnsi="Times New Roman" w:eastAsia="Calibri" w:cs="Times New Roman"/>
          <w:b/>
          <w:color w:val="auto"/>
          <w:lang w:bidi="ar-SA"/>
        </w:rPr>
        <w:t xml:space="preserve"> </w:t>
      </w:r>
      <w:r>
        <w:rPr>
          <w:rFonts w:ascii="Times New Roman" w:hAnsi="Times New Roman" w:eastAsia="Calibri" w:cs="Times New Roman"/>
          <w:color w:val="auto"/>
          <w:lang w:bidi="ar-SA"/>
        </w:rPr>
        <w:t xml:space="preserve">определены Правилами землепользования и застройки </w:t>
      </w:r>
      <w:r>
        <w:rPr>
          <w:rFonts w:ascii="Times New Roman" w:hAnsi="Times New Roman" w:eastAsia="Calibri" w:cs="Times New Roman"/>
          <w:bCs/>
          <w:color w:val="auto"/>
          <w:lang w:bidi="ar-SA"/>
        </w:rPr>
        <w:t>Усть-Коксинского</w:t>
      </w:r>
      <w:r>
        <w:rPr>
          <w:rFonts w:ascii="Times New Roman" w:hAnsi="Times New Roman" w:eastAsia="Calibri" w:cs="Times New Roman"/>
          <w:color w:val="auto"/>
          <w:lang w:bidi="ar-SA"/>
        </w:rPr>
        <w:t xml:space="preserve"> сельского поселения:</w:t>
      </w:r>
    </w:p>
    <w:p w14:paraId="548D373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 xml:space="preserve">- максимальный процент застройки – 50%; </w:t>
      </w:r>
    </w:p>
    <w:p w14:paraId="0B85E274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 xml:space="preserve">- предельные размеры земельных участков (далее ЗУ) для индивидуального жилищного строительства: </w:t>
      </w:r>
    </w:p>
    <w:p w14:paraId="21F152E9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>– минимальный размер – 0,06 га;</w:t>
      </w:r>
    </w:p>
    <w:p w14:paraId="277BAF7F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>– максимальные размеры земельных участков - 0, 15 га;</w:t>
      </w:r>
    </w:p>
    <w:p w14:paraId="4FDB146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 xml:space="preserve">- этажность - до 3 надземных этажей. </w:t>
      </w:r>
    </w:p>
    <w:p w14:paraId="2801B13F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>- минимальный отступ от красной линии улиц – 5 м, от проездов – 3 м;</w:t>
      </w:r>
    </w:p>
    <w:p w14:paraId="389659F4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>- расстояние от границ соседних участков до жилого дома не менее 3 м, вспомогательных строений не менее 1 м;</w:t>
      </w:r>
    </w:p>
    <w:p w14:paraId="0767E2BF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>- расстояние от окон жилых комнат до стен соседнего дома и вспомогательных построек, расположенных на соседнем ЗУ не менее 6 м.</w:t>
      </w:r>
    </w:p>
    <w:p w14:paraId="7E72787A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>- возможно увеличение минимального отступа с поправкой на противопожарный разрыв. Противопожарный разрыв в зависимости от степени огнестойкости ОКС составляет 6-15 м.</w:t>
      </w:r>
    </w:p>
    <w:p w14:paraId="77E74600">
      <w:pPr>
        <w:keepNext/>
        <w:keepLines/>
        <w:widowControl/>
        <w:ind w:firstLine="567"/>
        <w:jc w:val="both"/>
        <w:rPr>
          <w:rFonts w:ascii="Times New Roman" w:hAnsi="Times New Roman" w:eastAsia="Times New Roman" w:cs="Times New Roman"/>
          <w:bCs/>
          <w:color w:val="auto"/>
          <w:lang w:bidi="ar-SA"/>
        </w:rPr>
      </w:pPr>
      <w:r>
        <w:rPr>
          <w:rFonts w:ascii="Times New Roman" w:hAnsi="Times New Roman" w:eastAsia="Times New Roman" w:cs="Times New Roman"/>
          <w:b/>
          <w:color w:val="auto"/>
          <w:lang w:bidi="ar-SA"/>
        </w:rPr>
        <w:t>Сведения о технических условиях подключения</w:t>
      </w:r>
      <w:r>
        <w:rPr>
          <w:rFonts w:ascii="Times New Roman" w:hAnsi="Times New Roman" w:eastAsia="Times New Roman" w:cs="Times New Roman"/>
          <w:bCs/>
          <w:color w:val="auto"/>
          <w:lang w:bidi="ar-SA"/>
        </w:rPr>
        <w:t xml:space="preserve"> (технологического присоединения) объекта капитального строительства к сетям инженерно - технического обеспечения: </w:t>
      </w:r>
    </w:p>
    <w:p w14:paraId="2A1D319F">
      <w:pPr>
        <w:pStyle w:val="4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техническими условиями МУП «Тепловодстрой Сервис»  существует техническая возможность на подключение (технологическое присоединение) объекта капитального строительства к сетям инженерно-технического обеспечения водоснабжения.</w:t>
      </w:r>
    </w:p>
    <w:p w14:paraId="3D056BB1">
      <w:pPr>
        <w:pStyle w:val="4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Тип трубы, диаметр, номинальное давление в месте подключения: ПЭ 110 ГОСТ 18599-2001 Диаметр 110 мм. 32мм. 2кг/см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401315B">
      <w:pPr>
        <w:pStyle w:val="4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Рекомендовано до начала выполнения работ произвести согласование трассы с ОАО «Ростелеком», Усть-Коксинским РЭС.</w:t>
      </w:r>
    </w:p>
    <w:p w14:paraId="03AC9843">
      <w:pPr>
        <w:pStyle w:val="4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по установке средств измерений питьевой воды и режим водопотребления: обязательная установка прибора учета (счетчик воды) на объекте, в доступном месте для контроля показания, счетчик воды должен быть опломбирован.</w:t>
      </w:r>
    </w:p>
    <w:p w14:paraId="0F59F1FF">
      <w:pPr>
        <w:pStyle w:val="4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технологического присоединения объекта, без учета прокладки водопровода составляет 1860 руб. 18 копеек.</w:t>
      </w:r>
    </w:p>
    <w:p w14:paraId="18B9D122">
      <w:pPr>
        <w:pStyle w:val="4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информацией МУП «ТепловодСтрой Сервис» и МУП «Теплоресурс» возможность технологического присоединения к сетям </w:t>
      </w:r>
      <w:r>
        <w:rPr>
          <w:rFonts w:ascii="Times New Roman" w:hAnsi="Times New Roman" w:cs="Times New Roman"/>
          <w:sz w:val="24"/>
          <w:szCs w:val="24"/>
          <w:lang w:val="ru-RU"/>
        </w:rPr>
        <w:t>горячего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водоснабжения, </w:t>
      </w:r>
      <w:r>
        <w:rPr>
          <w:rFonts w:ascii="Times New Roman" w:hAnsi="Times New Roman" w:cs="Times New Roman"/>
          <w:sz w:val="24"/>
          <w:szCs w:val="24"/>
        </w:rPr>
        <w:t>теплоснабжения и водоотведения отсутствует. 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 возможно.</w:t>
      </w:r>
    </w:p>
    <w:p w14:paraId="377B1C7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eastAsia="en-US" w:bidi="ar-SA"/>
        </w:rPr>
      </w:pPr>
      <w:r>
        <w:rPr>
          <w:rFonts w:ascii="Times New Roman" w:hAnsi="Times New Roman" w:cs="Times New Roman"/>
          <w:b/>
          <w:bCs/>
          <w:color w:val="auto"/>
        </w:rPr>
        <w:t xml:space="preserve">Сведения </w:t>
      </w:r>
      <w:r>
        <w:rPr>
          <w:rFonts w:ascii="Times New Roman" w:hAnsi="Times New Roman" w:cs="Times New Roman" w:eastAsiaTheme="minorHAnsi"/>
          <w:b/>
          <w:bCs/>
          <w:color w:val="auto"/>
          <w:lang w:eastAsia="en-US"/>
        </w:rPr>
        <w:t>о дате размещения извещения</w:t>
      </w:r>
      <w:r>
        <w:rPr>
          <w:rFonts w:ascii="Times New Roman" w:hAnsi="Times New Roman" w:cs="Times New Roman" w:eastAsiaTheme="minorHAnsi"/>
          <w:color w:val="auto"/>
          <w:lang w:eastAsia="en-US"/>
        </w:rPr>
        <w:t xml:space="preserve"> в соответствии с </w:t>
      </w:r>
      <w:r>
        <w:fldChar w:fldCharType="begin"/>
      </w:r>
      <w:r>
        <w:instrText xml:space="preserve"> HYPERLINK "https://login.consultant.ru/link/?req=doc&amp;base=LAW&amp;n=483141&amp;dst=2788" </w:instrText>
      </w:r>
      <w:r>
        <w:fldChar w:fldCharType="separate"/>
      </w:r>
      <w:r>
        <w:rPr>
          <w:rFonts w:ascii="Times New Roman" w:hAnsi="Times New Roman" w:cs="Times New Roman" w:eastAsiaTheme="minorHAnsi"/>
          <w:color w:val="auto"/>
          <w:lang w:eastAsia="en-US"/>
        </w:rPr>
        <w:t>подпунктом 1 пункта 1 статьи 39.18</w:t>
      </w:r>
      <w:r>
        <w:rPr>
          <w:rFonts w:ascii="Times New Roman" w:hAnsi="Times New Roman" w:cs="Times New Roman" w:eastAsiaTheme="minorHAnsi"/>
          <w:color w:val="auto"/>
          <w:lang w:eastAsia="en-US"/>
        </w:rPr>
        <w:fldChar w:fldCharType="end"/>
      </w:r>
      <w:r>
        <w:rPr>
          <w:rFonts w:ascii="Times New Roman" w:hAnsi="Times New Roman" w:cs="Times New Roman" w:eastAsiaTheme="minorHAnsi"/>
          <w:color w:val="auto"/>
          <w:lang w:eastAsia="en-US"/>
        </w:rPr>
        <w:t xml:space="preserve"> настоящего Кодекса: </w:t>
      </w:r>
      <w:r>
        <w:rPr>
          <w:rFonts w:hint="default" w:ascii="Times New Roman" w:hAnsi="Times New Roman" w:cs="Times New Roman" w:eastAsiaTheme="minorHAnsi"/>
          <w:color w:val="auto"/>
          <w:lang w:val="ru-RU" w:eastAsia="en-US"/>
        </w:rPr>
        <w:t>12.03.2024</w:t>
      </w:r>
      <w:r>
        <w:rPr>
          <w:rFonts w:ascii="Times New Roman" w:hAnsi="Times New Roman" w:cs="Times New Roman" w:eastAsiaTheme="minorHAnsi"/>
          <w:color w:val="auto"/>
          <w:lang w:eastAsia="en-US"/>
        </w:rPr>
        <w:t xml:space="preserve"> г.</w:t>
      </w:r>
    </w:p>
    <w:p w14:paraId="1E2C0E67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eastAsia="Times New Roman" w:cs="Times New Roman"/>
          <w:bCs/>
          <w:color w:val="auto"/>
          <w:lang w:bidi="ar-SA"/>
        </w:rPr>
      </w:pPr>
      <w:r>
        <w:rPr>
          <w:rFonts w:ascii="Times New Roman" w:hAnsi="Times New Roman" w:eastAsia="Calibri" w:cs="Times New Roman"/>
          <w:b/>
          <w:bCs/>
          <w:color w:val="auto"/>
          <w:lang w:eastAsia="en-US" w:bidi="ar-SA"/>
        </w:rPr>
        <w:t>Начальная цена предмета аукциона</w:t>
      </w:r>
      <w:r>
        <w:rPr>
          <w:rFonts w:ascii="Times New Roman" w:hAnsi="Times New Roman" w:eastAsia="Calibri" w:cs="Times New Roman"/>
          <w:color w:val="auto"/>
          <w:lang w:eastAsia="en-US" w:bidi="ar-SA"/>
        </w:rPr>
        <w:t xml:space="preserve"> (размера ежегодной арендной платы): </w:t>
      </w:r>
      <w:r>
        <w:rPr>
          <w:rFonts w:hint="default" w:ascii="Times New Roman" w:hAnsi="Times New Roman" w:eastAsia="Times New Roman" w:cs="Times New Roman"/>
          <w:bCs/>
          <w:color w:val="auto"/>
          <w:lang w:val="ru-RU" w:bidi="ar-SA"/>
        </w:rPr>
        <w:t xml:space="preserve">219 000 </w:t>
      </w:r>
      <w:r>
        <w:rPr>
          <w:rFonts w:ascii="Times New Roman" w:hAnsi="Times New Roman" w:eastAsia="Times New Roman" w:cs="Times New Roman"/>
          <w:bCs/>
          <w:color w:val="auto"/>
          <w:lang w:bidi="ar-SA"/>
        </w:rPr>
        <w:t>руб.</w:t>
      </w:r>
    </w:p>
    <w:p w14:paraId="3E1E4ACB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eastAsia="en-US" w:bidi="ar-SA"/>
        </w:rPr>
      </w:pPr>
      <w:r>
        <w:rPr>
          <w:rFonts w:ascii="Times New Roman" w:hAnsi="Times New Roman" w:eastAsia="Calibri" w:cs="Times New Roman"/>
          <w:b/>
          <w:bCs/>
          <w:color w:val="auto"/>
          <w:lang w:eastAsia="en-US" w:bidi="ar-SA"/>
        </w:rPr>
        <w:t>Размер задатка</w:t>
      </w:r>
      <w:r>
        <w:rPr>
          <w:rFonts w:ascii="Times New Roman" w:hAnsi="Times New Roman" w:eastAsia="Calibri" w:cs="Times New Roman"/>
          <w:color w:val="auto"/>
          <w:lang w:eastAsia="en-US" w:bidi="ar-SA"/>
        </w:rPr>
        <w:t xml:space="preserve">: </w:t>
      </w:r>
      <w:r>
        <w:rPr>
          <w:rFonts w:hint="default" w:ascii="Times New Roman" w:hAnsi="Times New Roman" w:eastAsia="Times New Roman" w:cs="Times New Roman"/>
          <w:bCs/>
          <w:color w:val="auto"/>
          <w:lang w:val="ru-RU" w:bidi="ar-SA"/>
        </w:rPr>
        <w:t xml:space="preserve">109 000 </w:t>
      </w:r>
      <w:r>
        <w:rPr>
          <w:rFonts w:ascii="Times New Roman" w:hAnsi="Times New Roman" w:eastAsia="Times New Roman" w:cs="Times New Roman"/>
          <w:bCs/>
          <w:color w:val="auto"/>
          <w:lang w:bidi="ar-SA"/>
        </w:rPr>
        <w:t xml:space="preserve"> </w:t>
      </w:r>
      <w:r>
        <w:rPr>
          <w:rFonts w:ascii="Times New Roman" w:hAnsi="Times New Roman" w:eastAsia="Calibri" w:cs="Times New Roman"/>
          <w:color w:val="auto"/>
          <w:lang w:eastAsia="en-US" w:bidi="ar-SA"/>
        </w:rPr>
        <w:t xml:space="preserve">руб. </w:t>
      </w:r>
    </w:p>
    <w:p w14:paraId="109565B6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eastAsia="en-US" w:bidi="ar-SA"/>
        </w:rPr>
      </w:pPr>
      <w:r>
        <w:rPr>
          <w:rFonts w:ascii="Times New Roman" w:hAnsi="Times New Roman" w:eastAsia="Calibri" w:cs="Times New Roman"/>
          <w:b/>
          <w:bCs/>
          <w:color w:val="auto"/>
          <w:lang w:eastAsia="en-US" w:bidi="ar-SA"/>
        </w:rPr>
        <w:t>Шаг аукциона:</w:t>
      </w:r>
      <w:r>
        <w:rPr>
          <w:rFonts w:ascii="Times New Roman" w:hAnsi="Times New Roman" w:eastAsia="Calibri" w:cs="Times New Roman"/>
          <w:color w:val="auto"/>
          <w:lang w:eastAsia="en-US" w:bidi="ar-SA"/>
        </w:rPr>
        <w:t xml:space="preserve"> </w:t>
      </w:r>
      <w:r>
        <w:rPr>
          <w:rFonts w:hint="default" w:ascii="Times New Roman" w:hAnsi="Times New Roman" w:eastAsia="Calibri" w:cs="Times New Roman"/>
          <w:color w:val="auto"/>
          <w:lang w:val="ru-RU" w:eastAsia="en-US" w:bidi="ar-SA"/>
        </w:rPr>
        <w:t>10950</w:t>
      </w:r>
      <w:r>
        <w:rPr>
          <w:rFonts w:ascii="Times New Roman" w:hAnsi="Times New Roman" w:eastAsia="Calibri" w:cs="Times New Roman"/>
          <w:color w:val="auto"/>
          <w:lang w:eastAsia="en-US" w:bidi="ar-SA"/>
        </w:rPr>
        <w:t xml:space="preserve"> руб. </w:t>
      </w:r>
    </w:p>
    <w:p w14:paraId="432BCBBF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eastAsia="en-US" w:bidi="ar-SA"/>
        </w:rPr>
      </w:pPr>
    </w:p>
    <w:p w14:paraId="456CC336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eastAsia="Times New Roman" w:cs="Times New Roman"/>
          <w:bCs/>
          <w:color w:val="auto"/>
          <w:lang w:bidi="ar-SA"/>
        </w:rPr>
      </w:pPr>
      <w:r>
        <w:rPr>
          <w:rFonts w:ascii="Times New Roman" w:hAnsi="Times New Roman" w:eastAsia="Times New Roman" w:cs="Times New Roman"/>
          <w:b/>
          <w:color w:val="auto"/>
          <w:lang w:bidi="ar-SA"/>
        </w:rPr>
        <w:t xml:space="preserve">Лот № </w:t>
      </w:r>
      <w:r>
        <w:rPr>
          <w:rFonts w:hint="default" w:ascii="Times New Roman" w:hAnsi="Times New Roman" w:eastAsia="Times New Roman" w:cs="Times New Roman"/>
          <w:b/>
          <w:color w:val="auto"/>
          <w:lang w:val="ru-RU" w:bidi="ar-SA"/>
        </w:rPr>
        <w:t>2</w:t>
      </w:r>
      <w:r>
        <w:rPr>
          <w:rFonts w:ascii="Times New Roman" w:hAnsi="Times New Roman" w:eastAsia="Times New Roman" w:cs="Times New Roman"/>
          <w:b/>
          <w:color w:val="auto"/>
          <w:lang w:bidi="ar-SA"/>
        </w:rPr>
        <w:t xml:space="preserve"> -</w:t>
      </w:r>
      <w:r>
        <w:rPr>
          <w:rFonts w:ascii="Times New Roman" w:hAnsi="Times New Roman" w:eastAsia="Times New Roman" w:cs="Times New Roman"/>
          <w:color w:val="auto"/>
          <w:lang w:bidi="ar-SA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lang w:bidi="ar-SA"/>
        </w:rPr>
        <w:t>право на заключение договора аренды земельного участка, сроком 20 лет, относящегося к категории земель населенных пунктов, с кадастровым номером 04:08:090201:</w:t>
      </w:r>
      <w:r>
        <w:rPr>
          <w:rFonts w:hint="default" w:ascii="Times New Roman" w:hAnsi="Times New Roman" w:eastAsia="Times New Roman" w:cs="Times New Roman"/>
          <w:bCs/>
          <w:color w:val="auto"/>
          <w:lang w:val="ru-RU" w:bidi="ar-SA"/>
        </w:rPr>
        <w:t>596</w:t>
      </w:r>
      <w:r>
        <w:rPr>
          <w:rFonts w:ascii="Times New Roman" w:hAnsi="Times New Roman" w:eastAsia="Times New Roman" w:cs="Times New Roman"/>
          <w:bCs/>
          <w:color w:val="auto"/>
          <w:lang w:bidi="ar-SA"/>
        </w:rPr>
        <w:t xml:space="preserve">, площадью </w:t>
      </w:r>
      <w:r>
        <w:rPr>
          <w:rFonts w:hint="default" w:ascii="Times New Roman" w:hAnsi="Times New Roman" w:eastAsia="Times New Roman" w:cs="Times New Roman"/>
          <w:bCs/>
          <w:color w:val="auto"/>
          <w:lang w:val="ru-RU" w:bidi="ar-SA"/>
        </w:rPr>
        <w:t xml:space="preserve">1106 </w:t>
      </w:r>
      <w:r>
        <w:rPr>
          <w:rFonts w:ascii="Times New Roman" w:hAnsi="Times New Roman" w:eastAsia="Times New Roman" w:cs="Times New Roman"/>
          <w:bCs/>
          <w:color w:val="auto"/>
          <w:lang w:bidi="ar-SA"/>
        </w:rPr>
        <w:t xml:space="preserve">кв. м, местоположение: </w:t>
      </w:r>
      <w:r>
        <w:rPr>
          <w:rFonts w:ascii="Times New Roman" w:hAnsi="Times New Roman" w:eastAsia="Times New Roman" w:cs="Times New Roman"/>
          <w:b/>
          <w:color w:val="auto"/>
          <w:lang w:bidi="ar-SA"/>
        </w:rPr>
        <w:t xml:space="preserve">Республика Алтай, Усть-Коксинский район, п. Гагарка, улица </w:t>
      </w:r>
      <w:r>
        <w:rPr>
          <w:rFonts w:ascii="Times New Roman" w:hAnsi="Times New Roman" w:eastAsia="Times New Roman" w:cs="Times New Roman"/>
          <w:b/>
          <w:color w:val="auto"/>
          <w:lang w:val="ru-RU" w:bidi="ar-SA"/>
        </w:rPr>
        <w:t>Заречная</w:t>
      </w:r>
      <w:r>
        <w:rPr>
          <w:rFonts w:ascii="Times New Roman" w:hAnsi="Times New Roman" w:eastAsia="Times New Roman" w:cs="Times New Roman"/>
          <w:b/>
          <w:color w:val="auto"/>
          <w:lang w:bidi="ar-SA"/>
        </w:rPr>
        <w:t xml:space="preserve">, земельный участок </w:t>
      </w:r>
      <w:r>
        <w:rPr>
          <w:rFonts w:hint="default" w:ascii="Times New Roman" w:hAnsi="Times New Roman" w:eastAsia="Times New Roman" w:cs="Times New Roman"/>
          <w:b/>
          <w:color w:val="auto"/>
          <w:lang w:val="ru-RU" w:bidi="ar-SA"/>
        </w:rPr>
        <w:t>6Б</w:t>
      </w:r>
      <w:r>
        <w:rPr>
          <w:rFonts w:ascii="Times New Roman" w:hAnsi="Times New Roman" w:eastAsia="Times New Roman" w:cs="Times New Roman"/>
          <w:bCs/>
          <w:color w:val="auto"/>
          <w:lang w:bidi="ar-SA"/>
        </w:rPr>
        <w:t>, с разрешённым использованием: для ведения личного подсобного хозяйства (приусадебный земельный участок).</w:t>
      </w:r>
    </w:p>
    <w:p w14:paraId="6CEFFC26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eastAsia="en-US" w:bidi="ar-SA"/>
        </w:rPr>
      </w:pPr>
      <w:r>
        <w:rPr>
          <w:rFonts w:ascii="Times New Roman" w:hAnsi="Times New Roman" w:eastAsia="Calibri" w:cs="Times New Roman"/>
          <w:b/>
          <w:bCs/>
          <w:color w:val="auto"/>
          <w:lang w:eastAsia="en-US" w:bidi="ar-SA"/>
        </w:rPr>
        <w:t>Сведения о правах на земельный участок</w:t>
      </w:r>
      <w:r>
        <w:rPr>
          <w:rFonts w:ascii="Times New Roman" w:hAnsi="Times New Roman" w:eastAsia="Calibri" w:cs="Times New Roman"/>
          <w:color w:val="auto"/>
          <w:lang w:eastAsia="en-US" w:bidi="ar-SA"/>
        </w:rPr>
        <w:t>: государственная неразграниченная собственность.</w:t>
      </w:r>
    </w:p>
    <w:p w14:paraId="62BDBBA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eastAsia="en-US" w:bidi="ar-SA"/>
        </w:rPr>
      </w:pPr>
      <w:r>
        <w:rPr>
          <w:rFonts w:ascii="Times New Roman" w:hAnsi="Times New Roman" w:eastAsia="Calibri" w:cs="Times New Roman"/>
          <w:b/>
          <w:bCs/>
          <w:color w:val="auto"/>
          <w:lang w:eastAsia="en-US" w:bidi="ar-SA"/>
        </w:rPr>
        <w:t>Сведения об ограничениях права</w:t>
      </w:r>
      <w:r>
        <w:rPr>
          <w:rFonts w:ascii="Times New Roman" w:hAnsi="Times New Roman" w:eastAsia="Calibri" w:cs="Times New Roman"/>
          <w:color w:val="auto"/>
          <w:lang w:eastAsia="en-US" w:bidi="ar-SA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</w:p>
    <w:p w14:paraId="4B17EFE2">
      <w:pPr>
        <w:numPr>
          <w:ilvl w:val="0"/>
          <w:numId w:val="3"/>
        </w:num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eastAsia="en-US" w:bidi="ar-SA"/>
        </w:rPr>
      </w:pPr>
      <w:r>
        <w:rPr>
          <w:rFonts w:ascii="Times New Roman" w:hAnsi="Times New Roman" w:eastAsia="Calibri" w:cs="Times New Roman"/>
          <w:color w:val="auto"/>
          <w:lang w:eastAsia="en-US" w:bidi="ar-SA"/>
        </w:rPr>
        <w:t>Ограничения прав на земельный участок, предусмотренные статьей 56 Земельного кодекса Российской Федерации; срок действия: c 17.06.2024; Реквизиты документа-основания: Приказ "Об определении границ зон подтопления водными объектами территории с. Гагарка Усть-Коксинского района Республики Алтай" от 2022-07-08 № 70пр выдан: Федеральное агентство водных ресурсов (Верхне-Обское бассейновое водное управление).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17.06.2024; Реквизиты документа-основания: Приказ "Об определении границ зоны затопления водными объектами территории с. Гагарка Усть-Коксинского района Республики Алтай" от 2023-01-31 № 10пр выдан: Федеральное агентство водных ресурсов (Верхне-Обское бассейновое водное управление).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17.06.2024; Реквизиты документа-основания: Приказ "Об определении границ зон подтопления водными объектами территории с. Гагарка Усть-Коксинского района Республики Алтай" от 2022-07-08 № 70пр выдан: Федеральное агентство водных ресурсов (Верхне-Обское бассейновое водное управление)</w:t>
      </w:r>
      <w:r>
        <w:rPr>
          <w:rFonts w:hint="default" w:ascii="Times New Roman" w:hAnsi="Times New Roman" w:eastAsia="Calibri" w:cs="Times New Roman"/>
          <w:color w:val="auto"/>
          <w:lang w:val="ru-RU" w:eastAsia="en-US" w:bidi="ar-SA"/>
        </w:rPr>
        <w:t>.</w:t>
      </w:r>
    </w:p>
    <w:p w14:paraId="4DFB8F1D">
      <w:pPr>
        <w:numPr>
          <w:ilvl w:val="0"/>
          <w:numId w:val="3"/>
        </w:num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eastAsia="en-US" w:bidi="ar-SA"/>
        </w:rPr>
      </w:pPr>
      <w:r>
        <w:rPr>
          <w:rFonts w:hint="default" w:ascii="Times New Roman" w:hAnsi="Times New Roman" w:eastAsia="Calibri" w:cs="Times New Roman"/>
          <w:color w:val="auto"/>
          <w:lang w:val="ru-RU" w:eastAsia="en-US" w:bidi="ar-SA"/>
        </w:rPr>
        <w:t>Прибрежная защитная полоса реки Катунь от истока р.Катунь до с.Чемал на территории Республики Алтай (номер зоны 04:08-6.486, ограничения установлены ст.65 Водного кодекса РФ);</w:t>
      </w:r>
    </w:p>
    <w:p w14:paraId="255E02C4">
      <w:pPr>
        <w:numPr>
          <w:ilvl w:val="0"/>
          <w:numId w:val="3"/>
        </w:num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eastAsia="en-US" w:bidi="ar-SA"/>
        </w:rPr>
      </w:pPr>
      <w:r>
        <w:rPr>
          <w:rFonts w:hint="default" w:ascii="Times New Roman" w:hAnsi="Times New Roman" w:eastAsia="Calibri" w:cs="Times New Roman"/>
          <w:color w:val="auto"/>
          <w:lang w:val="ru-RU" w:eastAsia="en-US" w:bidi="ar-SA"/>
        </w:rPr>
        <w:t>Водоохранная зона реки Катунь от истока р.Катунь до с.Чемал на территории Республики Алтай (номер зоны 04:08-6.487, ограничения установлены ст.65 Водного кодекса РФ).</w:t>
      </w:r>
    </w:p>
    <w:p w14:paraId="346C4D53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bookmarkStart w:id="3" w:name="_Hlk194533717"/>
      <w:r>
        <w:rPr>
          <w:rFonts w:ascii="Times New Roman" w:hAnsi="Times New Roman" w:eastAsia="Calibri" w:cs="Times New Roman"/>
          <w:b/>
          <w:color w:val="auto"/>
          <w:lang w:bidi="ar-SA"/>
        </w:rPr>
        <w:t>Сведения о максимально и (или) минимально допустимых параметрах разрешенного строительства</w:t>
      </w:r>
      <w:r>
        <w:rPr>
          <w:rFonts w:ascii="Times New Roman" w:hAnsi="Times New Roman" w:eastAsia="Calibri" w:cs="Times New Roman"/>
          <w:bCs/>
          <w:color w:val="auto"/>
          <w:lang w:bidi="ar-SA"/>
        </w:rPr>
        <w:t xml:space="preserve"> объекта капитального строительства</w:t>
      </w:r>
      <w:r>
        <w:rPr>
          <w:rFonts w:ascii="Times New Roman" w:hAnsi="Times New Roman" w:eastAsia="Calibri" w:cs="Times New Roman"/>
          <w:b/>
          <w:color w:val="auto"/>
          <w:lang w:bidi="ar-SA"/>
        </w:rPr>
        <w:t xml:space="preserve"> </w:t>
      </w:r>
      <w:r>
        <w:rPr>
          <w:rFonts w:ascii="Times New Roman" w:hAnsi="Times New Roman" w:eastAsia="Calibri" w:cs="Times New Roman"/>
          <w:color w:val="auto"/>
          <w:lang w:bidi="ar-SA"/>
        </w:rPr>
        <w:t xml:space="preserve">определены Правилами землепользования и застройки </w:t>
      </w:r>
      <w:r>
        <w:rPr>
          <w:rFonts w:ascii="Times New Roman" w:hAnsi="Times New Roman" w:eastAsia="Calibri" w:cs="Times New Roman"/>
          <w:bCs/>
          <w:color w:val="auto"/>
          <w:lang w:bidi="ar-SA"/>
        </w:rPr>
        <w:t>Верх-Уймонского</w:t>
      </w:r>
      <w:r>
        <w:rPr>
          <w:rFonts w:ascii="Times New Roman" w:hAnsi="Times New Roman" w:eastAsia="Calibri" w:cs="Times New Roman"/>
          <w:color w:val="auto"/>
          <w:lang w:bidi="ar-SA"/>
        </w:rPr>
        <w:t xml:space="preserve"> сельского поселения.</w:t>
      </w:r>
    </w:p>
    <w:p w14:paraId="4125DEF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30%.</w:t>
      </w:r>
    </w:p>
    <w:p w14:paraId="5BE0835A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 xml:space="preserve"> Предельные размеры земельных участков (далее ЗУ) для индивидуального жилищного строительства (ИЖС) и личного подсобного хозяйства (ЛПХ) устанавливаются органами местного самоуправления.</w:t>
      </w:r>
    </w:p>
    <w:p w14:paraId="78C1A213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Верх-Уймонского СП Усть-Коксинского района:</w:t>
      </w:r>
    </w:p>
    <w:p w14:paraId="10BD813B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>– для ведения личного подсобного хозяйства или индивидуального жилищного строительства:</w:t>
      </w:r>
    </w:p>
    <w:p w14:paraId="12D30292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 xml:space="preserve">– минимальный размер – 0,06 га в населенных пунктах; </w:t>
      </w:r>
    </w:p>
    <w:p w14:paraId="7773391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>– максимальные размеры земельных участков - 0, 18 га;</w:t>
      </w:r>
    </w:p>
    <w:p w14:paraId="4251D8D2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 xml:space="preserve">В случаях, когда размер формируемого земельного участка, находящегося в фактическом пользовании граждан до 2010 года, то для данного земельного участка его размеры являются: </w:t>
      </w:r>
    </w:p>
    <w:p w14:paraId="72711B6A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 xml:space="preserve">- предельные максимальные размеры – 0, 30 га; </w:t>
      </w:r>
    </w:p>
    <w:p w14:paraId="45068F4A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>- предельные минимальные размеры – 0,20 га.</w:t>
      </w:r>
    </w:p>
    <w:p w14:paraId="392E9929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 xml:space="preserve">Допускается для ведения ЛПХ выделение части ЗУ до установленной max нормы, за пределами жилой зоны. </w:t>
      </w:r>
    </w:p>
    <w:p w14:paraId="6D59395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>Этажность - до 3 этажей.</w:t>
      </w:r>
    </w:p>
    <w:p w14:paraId="29CA40DF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>Минимальный отступ от красной линии улиц – 5 м, от проездов – 3 м.</w:t>
      </w:r>
    </w:p>
    <w:p w14:paraId="110A822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>Расстояние от границ соседних участков жилого дома не менее 3 м, вспомогательных строений не менее 1 м.</w:t>
      </w:r>
    </w:p>
    <w:p w14:paraId="5B2EB01C">
      <w:pPr>
        <w:keepNext/>
        <w:keepLines/>
        <w:widowControl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>Если дом высотой до трех надземных этажей, то расстояние от окон жилых комнат до стен соседнего дома и вспомогательных построек, расположенных на соседнем ЗУ не менее 6 м.</w:t>
      </w:r>
    </w:p>
    <w:p w14:paraId="2926FBA3">
      <w:pPr>
        <w:keepNext/>
        <w:keepLines/>
        <w:widowControl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«Системы противопожарной защиты. Ограничение распространения пожара на объектах защиты. Требования к объемно-планировочным и конструктивным решениям» и Приложению 1 Федерального закона от 22 июля 2008 г. № 123-ФЗ «Технический регламент о требованиях пожарной безопасности».</w:t>
      </w:r>
    </w:p>
    <w:p w14:paraId="62CDEEA5">
      <w:pPr>
        <w:keepNext/>
        <w:keepLines/>
        <w:widowControl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>Противопожарный разрыв в зависимости от степени огнестойкости ОКС составляет 6 - 15 м.</w:t>
      </w:r>
    </w:p>
    <w:bookmarkEnd w:id="3"/>
    <w:p w14:paraId="72FDB6F5">
      <w:pPr>
        <w:keepNext/>
        <w:keepLines/>
        <w:widowControl/>
        <w:ind w:firstLine="567"/>
        <w:jc w:val="both"/>
        <w:rPr>
          <w:rFonts w:ascii="Times New Roman" w:hAnsi="Times New Roman" w:eastAsia="Times New Roman" w:cs="Times New Roman"/>
          <w:bCs/>
          <w:color w:val="auto"/>
          <w:lang w:bidi="ar-SA"/>
        </w:rPr>
      </w:pPr>
      <w:r>
        <w:rPr>
          <w:rFonts w:ascii="Times New Roman" w:hAnsi="Times New Roman" w:eastAsia="Times New Roman" w:cs="Times New Roman"/>
          <w:b/>
          <w:color w:val="auto"/>
          <w:lang w:bidi="ar-SA"/>
        </w:rPr>
        <w:t xml:space="preserve">Сведения о технических условиях подключения </w:t>
      </w:r>
      <w:r>
        <w:rPr>
          <w:rFonts w:ascii="Times New Roman" w:hAnsi="Times New Roman" w:eastAsia="Times New Roman" w:cs="Times New Roman"/>
          <w:bCs/>
          <w:color w:val="auto"/>
          <w:lang w:bidi="ar-SA"/>
        </w:rPr>
        <w:t xml:space="preserve">(технологического присоединения) объекта капитального строительства к сетям инженерно - технического обеспечения: </w:t>
      </w:r>
    </w:p>
    <w:p w14:paraId="2B00EB3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bCs/>
          <w:color w:val="auto"/>
          <w:lang w:bidi="ar-SA"/>
        </w:rPr>
        <w:t>В соответствии с информацией МУП «ТепловодСтрой Сервис» и МУП «Теплоресурс»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>
        <w:rPr>
          <w:rFonts w:ascii="Times New Roman" w:hAnsi="Times New Roman" w:eastAsia="Times New Roman" w:cs="Times New Roman"/>
          <w:color w:val="auto"/>
          <w:lang w:bidi="ar-SA"/>
        </w:rPr>
        <w:t xml:space="preserve"> отсутствует. 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1EE1F84B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b/>
          <w:bCs/>
        </w:rPr>
        <w:t xml:space="preserve">Сведения </w:t>
      </w:r>
      <w:r>
        <w:rPr>
          <w:rFonts w:ascii="Times New Roman" w:hAnsi="Times New Roman" w:cs="Times New Roman" w:eastAsiaTheme="minorHAnsi"/>
          <w:b/>
          <w:bCs/>
          <w:lang w:eastAsia="en-US"/>
        </w:rPr>
        <w:t>о дате размещения извещения</w:t>
      </w:r>
      <w:r>
        <w:rPr>
          <w:rFonts w:ascii="Times New Roman" w:hAnsi="Times New Roman" w:cs="Times New Roman" w:eastAsiaTheme="minorHAnsi"/>
          <w:lang w:eastAsia="en-US"/>
        </w:rPr>
        <w:t xml:space="preserve"> в соответствии с </w:t>
      </w:r>
      <w:r>
        <w:fldChar w:fldCharType="begin"/>
      </w:r>
      <w:r>
        <w:instrText xml:space="preserve"> HYPERLINK "https://login.consultant.ru/link/?req=doc&amp;base=LAW&amp;n=483141&amp;dst=2788" </w:instrText>
      </w:r>
      <w:r>
        <w:fldChar w:fldCharType="separate"/>
      </w:r>
      <w:r>
        <w:rPr>
          <w:rFonts w:ascii="Times New Roman" w:hAnsi="Times New Roman" w:cs="Times New Roman" w:eastAsiaTheme="minorHAnsi"/>
          <w:lang w:eastAsia="en-US"/>
        </w:rPr>
        <w:t>подпунктом 1 пункта 1 статьи 39.18</w:t>
      </w:r>
      <w:r>
        <w:rPr>
          <w:rFonts w:ascii="Times New Roman" w:hAnsi="Times New Roman" w:cs="Times New Roman" w:eastAsiaTheme="minorHAnsi"/>
          <w:lang w:eastAsia="en-US"/>
        </w:rPr>
        <w:fldChar w:fldCharType="end"/>
      </w:r>
      <w:r>
        <w:rPr>
          <w:rFonts w:ascii="Times New Roman" w:hAnsi="Times New Roman" w:cs="Times New Roman" w:eastAsiaTheme="minorHAnsi"/>
          <w:lang w:eastAsia="en-US"/>
        </w:rPr>
        <w:t xml:space="preserve"> настоящего Кодекса</w:t>
      </w:r>
      <w:r>
        <w:t xml:space="preserve"> </w:t>
      </w:r>
      <w:r>
        <w:rPr>
          <w:rFonts w:hint="default" w:ascii="Times New Roman" w:hAnsi="Times New Roman" w:cs="Times New Roman" w:eastAsiaTheme="minorHAnsi"/>
          <w:lang w:val="ru-RU" w:eastAsia="en-US"/>
        </w:rPr>
        <w:t>11.06.2024</w:t>
      </w:r>
      <w:r>
        <w:rPr>
          <w:rFonts w:ascii="Times New Roman" w:hAnsi="Times New Roman" w:cs="Times New Roman" w:eastAsiaTheme="minorHAnsi"/>
          <w:lang w:eastAsia="en-US"/>
        </w:rPr>
        <w:t xml:space="preserve"> г.</w:t>
      </w:r>
    </w:p>
    <w:p w14:paraId="5127094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eastAsia="en-US" w:bidi="ar-SA"/>
        </w:rPr>
      </w:pPr>
      <w:r>
        <w:rPr>
          <w:rFonts w:ascii="Times New Roman" w:hAnsi="Times New Roman" w:eastAsia="Calibri" w:cs="Times New Roman"/>
          <w:b/>
          <w:bCs/>
          <w:color w:val="auto"/>
          <w:lang w:eastAsia="en-US" w:bidi="ar-SA"/>
        </w:rPr>
        <w:t>Начальная цена предмета аукциона</w:t>
      </w:r>
      <w:r>
        <w:rPr>
          <w:rFonts w:ascii="Times New Roman" w:hAnsi="Times New Roman" w:eastAsia="Calibri" w:cs="Times New Roman"/>
          <w:color w:val="auto"/>
          <w:lang w:eastAsia="en-US" w:bidi="ar-SA"/>
        </w:rPr>
        <w:t xml:space="preserve"> (размера ежегодной арендной платы): </w:t>
      </w:r>
      <w:r>
        <w:rPr>
          <w:rFonts w:hint="default" w:ascii="Times New Roman" w:hAnsi="Times New Roman" w:eastAsia="Calibri" w:cs="Times New Roman"/>
          <w:color w:val="auto"/>
          <w:lang w:val="ru-RU" w:eastAsia="en-US" w:bidi="ar-SA"/>
        </w:rPr>
        <w:t>95 116</w:t>
      </w:r>
      <w:r>
        <w:rPr>
          <w:rFonts w:ascii="Times New Roman" w:hAnsi="Times New Roman" w:eastAsia="Calibri" w:cs="Times New Roman"/>
          <w:color w:val="auto"/>
          <w:lang w:eastAsia="en-US" w:bidi="ar-SA"/>
        </w:rPr>
        <w:t xml:space="preserve"> руб. </w:t>
      </w:r>
    </w:p>
    <w:p w14:paraId="09ADF40A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eastAsia="en-US" w:bidi="ar-SA"/>
        </w:rPr>
      </w:pPr>
      <w:r>
        <w:rPr>
          <w:rFonts w:ascii="Times New Roman" w:hAnsi="Times New Roman" w:eastAsia="Calibri" w:cs="Times New Roman"/>
          <w:b/>
          <w:bCs/>
          <w:color w:val="auto"/>
          <w:lang w:eastAsia="en-US" w:bidi="ar-SA"/>
        </w:rPr>
        <w:t>Размер задатка</w:t>
      </w:r>
      <w:r>
        <w:rPr>
          <w:rFonts w:ascii="Times New Roman" w:hAnsi="Times New Roman" w:eastAsia="Calibri" w:cs="Times New Roman"/>
          <w:color w:val="auto"/>
          <w:lang w:eastAsia="en-US" w:bidi="ar-SA"/>
        </w:rPr>
        <w:t xml:space="preserve">: </w:t>
      </w:r>
      <w:r>
        <w:rPr>
          <w:rFonts w:hint="default" w:ascii="Times New Roman" w:hAnsi="Times New Roman" w:eastAsia="Calibri" w:cs="Times New Roman"/>
          <w:color w:val="auto"/>
          <w:lang w:val="ru-RU" w:eastAsia="en-US" w:bidi="ar-SA"/>
        </w:rPr>
        <w:t xml:space="preserve">45 000 </w:t>
      </w:r>
      <w:r>
        <w:rPr>
          <w:rFonts w:ascii="Times New Roman" w:hAnsi="Times New Roman" w:eastAsia="Calibri" w:cs="Times New Roman"/>
          <w:color w:val="auto"/>
          <w:lang w:eastAsia="en-US" w:bidi="ar-SA"/>
        </w:rPr>
        <w:t xml:space="preserve">руб. </w:t>
      </w:r>
    </w:p>
    <w:p w14:paraId="7F5B7A5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eastAsia="en-US" w:bidi="ar-SA"/>
        </w:rPr>
      </w:pPr>
      <w:r>
        <w:rPr>
          <w:rFonts w:ascii="Times New Roman" w:hAnsi="Times New Roman" w:eastAsia="Calibri" w:cs="Times New Roman"/>
          <w:b/>
          <w:bCs/>
          <w:color w:val="auto"/>
          <w:lang w:eastAsia="en-US" w:bidi="ar-SA"/>
        </w:rPr>
        <w:t>Шаг аукциона</w:t>
      </w:r>
      <w:r>
        <w:rPr>
          <w:rFonts w:ascii="Times New Roman" w:hAnsi="Times New Roman" w:eastAsia="Calibri" w:cs="Times New Roman"/>
          <w:color w:val="auto"/>
          <w:lang w:eastAsia="en-US" w:bidi="ar-SA"/>
        </w:rPr>
        <w:t xml:space="preserve">: </w:t>
      </w:r>
      <w:r>
        <w:rPr>
          <w:rFonts w:hint="default" w:ascii="Times New Roman" w:hAnsi="Times New Roman" w:eastAsia="Calibri" w:cs="Times New Roman"/>
          <w:color w:val="auto"/>
          <w:lang w:val="ru-RU" w:eastAsia="en-US" w:bidi="ar-SA"/>
        </w:rPr>
        <w:t>4 755</w:t>
      </w:r>
      <w:r>
        <w:rPr>
          <w:rFonts w:ascii="Times New Roman" w:hAnsi="Times New Roman" w:eastAsia="Calibri" w:cs="Times New Roman"/>
          <w:color w:val="auto"/>
          <w:lang w:eastAsia="en-US" w:bidi="ar-SA"/>
        </w:rPr>
        <w:t xml:space="preserve"> руб. </w:t>
      </w:r>
    </w:p>
    <w:p w14:paraId="146E0EFB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eastAsia="en-US" w:bidi="ar-SA"/>
        </w:rPr>
      </w:pPr>
    </w:p>
    <w:p w14:paraId="3739A8AD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eastAsia="Times New Roman" w:cs="Times New Roman"/>
          <w:bCs/>
          <w:color w:val="auto"/>
          <w:lang w:bidi="ar-SA"/>
        </w:rPr>
      </w:pPr>
      <w:r>
        <w:rPr>
          <w:rFonts w:ascii="Times New Roman" w:hAnsi="Times New Roman" w:eastAsia="Times New Roman" w:cs="Times New Roman"/>
          <w:b/>
          <w:color w:val="auto"/>
          <w:lang w:bidi="ar-SA"/>
        </w:rPr>
        <w:t xml:space="preserve">Лот № </w:t>
      </w:r>
      <w:r>
        <w:rPr>
          <w:rFonts w:hint="default" w:ascii="Times New Roman" w:hAnsi="Times New Roman" w:eastAsia="Times New Roman" w:cs="Times New Roman"/>
          <w:b/>
          <w:color w:val="auto"/>
          <w:lang w:val="ru-RU" w:bidi="ar-SA"/>
        </w:rPr>
        <w:t>3</w:t>
      </w:r>
      <w:r>
        <w:rPr>
          <w:rFonts w:ascii="Times New Roman" w:hAnsi="Times New Roman" w:eastAsia="Times New Roman" w:cs="Times New Roman"/>
          <w:bCs/>
          <w:color w:val="auto"/>
          <w:lang w:bidi="ar-SA"/>
        </w:rPr>
        <w:t xml:space="preserve"> - право на заключение договора аренды земельного участка, сроком 20 лет, относящегося к категории земель населенных пунктов, с кадастровым номером 04:08:</w:t>
      </w:r>
      <w:r>
        <w:rPr>
          <w:rFonts w:hint="default" w:ascii="Times New Roman" w:hAnsi="Times New Roman" w:eastAsia="Times New Roman" w:cs="Times New Roman"/>
          <w:bCs/>
          <w:color w:val="auto"/>
          <w:lang w:val="ru-RU" w:bidi="ar-SA"/>
        </w:rPr>
        <w:t>090401:1242</w:t>
      </w:r>
      <w:r>
        <w:rPr>
          <w:rFonts w:ascii="Times New Roman" w:hAnsi="Times New Roman" w:eastAsia="Times New Roman" w:cs="Times New Roman"/>
          <w:bCs/>
          <w:color w:val="auto"/>
          <w:lang w:bidi="ar-SA"/>
        </w:rPr>
        <w:t xml:space="preserve">, площадью </w:t>
      </w:r>
      <w:r>
        <w:rPr>
          <w:rFonts w:hint="default" w:ascii="Times New Roman" w:hAnsi="Times New Roman" w:eastAsia="Times New Roman" w:cs="Times New Roman"/>
          <w:bCs/>
          <w:color w:val="auto"/>
          <w:lang w:val="ru-RU" w:bidi="ar-SA"/>
        </w:rPr>
        <w:t xml:space="preserve">731 </w:t>
      </w:r>
      <w:r>
        <w:rPr>
          <w:rFonts w:ascii="Times New Roman" w:hAnsi="Times New Roman" w:eastAsia="Times New Roman" w:cs="Times New Roman"/>
          <w:bCs/>
          <w:color w:val="auto"/>
          <w:lang w:bidi="ar-SA"/>
        </w:rPr>
        <w:t xml:space="preserve">кв. м, местоположение: </w:t>
      </w:r>
      <w:r>
        <w:rPr>
          <w:rFonts w:ascii="Times New Roman" w:hAnsi="Times New Roman" w:eastAsia="Times New Roman" w:cs="Times New Roman"/>
          <w:b/>
          <w:color w:val="auto"/>
          <w:lang w:bidi="ar-SA"/>
        </w:rPr>
        <w:t xml:space="preserve">Республика Алтай, Усть-Коксинский район, с. </w:t>
      </w:r>
      <w:r>
        <w:rPr>
          <w:rFonts w:ascii="Times New Roman" w:hAnsi="Times New Roman" w:eastAsia="Times New Roman" w:cs="Times New Roman"/>
          <w:b/>
          <w:color w:val="auto"/>
          <w:lang w:val="ru-RU" w:bidi="ar-SA"/>
        </w:rPr>
        <w:t>Мульта</w:t>
      </w:r>
      <w:r>
        <w:rPr>
          <w:rFonts w:ascii="Times New Roman" w:hAnsi="Times New Roman" w:eastAsia="Times New Roman" w:cs="Times New Roman"/>
          <w:b/>
          <w:color w:val="auto"/>
          <w:lang w:bidi="ar-SA"/>
        </w:rPr>
        <w:t xml:space="preserve">, ул. </w:t>
      </w:r>
      <w:r>
        <w:rPr>
          <w:rFonts w:ascii="Times New Roman" w:hAnsi="Times New Roman" w:eastAsia="Times New Roman" w:cs="Times New Roman"/>
          <w:b/>
          <w:color w:val="auto"/>
          <w:lang w:val="ru-RU" w:bidi="ar-SA"/>
        </w:rPr>
        <w:t>Лесная</w:t>
      </w:r>
      <w:r>
        <w:rPr>
          <w:rFonts w:ascii="Times New Roman" w:hAnsi="Times New Roman" w:eastAsia="Times New Roman" w:cs="Times New Roman"/>
          <w:b/>
          <w:color w:val="auto"/>
          <w:lang w:bidi="ar-SA"/>
        </w:rPr>
        <w:t xml:space="preserve">, земельный участок </w:t>
      </w:r>
      <w:r>
        <w:rPr>
          <w:rFonts w:hint="default" w:ascii="Times New Roman" w:hAnsi="Times New Roman" w:eastAsia="Times New Roman" w:cs="Times New Roman"/>
          <w:b/>
          <w:color w:val="auto"/>
          <w:lang w:val="ru-RU" w:bidi="ar-SA"/>
        </w:rPr>
        <w:t>21Б</w:t>
      </w:r>
      <w:r>
        <w:rPr>
          <w:rFonts w:ascii="Times New Roman" w:hAnsi="Times New Roman" w:eastAsia="Times New Roman" w:cs="Times New Roman"/>
          <w:bCs/>
          <w:color w:val="auto"/>
          <w:lang w:bidi="ar-SA"/>
        </w:rPr>
        <w:t>, с разрешённым использованием: для ведения личного подсобного хозяйства</w:t>
      </w:r>
      <w:r>
        <w:rPr>
          <w:rFonts w:hint="default" w:ascii="Times New Roman" w:hAnsi="Times New Roman" w:eastAsia="Times New Roman" w:cs="Times New Roman"/>
          <w:bCs/>
          <w:color w:val="auto"/>
          <w:lang w:val="ru-RU" w:bidi="ar-SA"/>
        </w:rPr>
        <w:t xml:space="preserve"> (приусадебный земельный участок)</w:t>
      </w:r>
      <w:r>
        <w:rPr>
          <w:rFonts w:ascii="Times New Roman" w:hAnsi="Times New Roman" w:eastAsia="Times New Roman" w:cs="Times New Roman"/>
          <w:bCs/>
          <w:color w:val="auto"/>
          <w:lang w:bidi="ar-SA"/>
        </w:rPr>
        <w:t>.</w:t>
      </w:r>
    </w:p>
    <w:p w14:paraId="3913CBF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eastAsia="en-US" w:bidi="ar-SA"/>
        </w:rPr>
      </w:pPr>
      <w:r>
        <w:rPr>
          <w:rFonts w:ascii="Times New Roman" w:hAnsi="Times New Roman" w:eastAsia="Calibri" w:cs="Times New Roman"/>
          <w:b/>
          <w:bCs/>
          <w:color w:val="auto"/>
          <w:lang w:eastAsia="en-US" w:bidi="ar-SA"/>
        </w:rPr>
        <w:t>Сведения о правах на земельный участок</w:t>
      </w:r>
      <w:r>
        <w:rPr>
          <w:rFonts w:ascii="Times New Roman" w:hAnsi="Times New Roman" w:eastAsia="Calibri" w:cs="Times New Roman"/>
          <w:color w:val="auto"/>
          <w:lang w:eastAsia="en-US" w:bidi="ar-SA"/>
        </w:rPr>
        <w:t>: государственная неразграниченная собственность.</w:t>
      </w:r>
    </w:p>
    <w:p w14:paraId="2A1F5A17">
      <w:pPr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eastAsia="Calibri" w:cs="Times New Roman"/>
          <w:color w:val="auto"/>
          <w:lang w:val="ru-RU" w:eastAsia="en-US" w:bidi="ar-SA"/>
        </w:rPr>
      </w:pPr>
      <w:r>
        <w:rPr>
          <w:rFonts w:ascii="Times New Roman" w:hAnsi="Times New Roman" w:eastAsia="Calibri" w:cs="Times New Roman"/>
          <w:b/>
          <w:bCs/>
          <w:color w:val="auto"/>
          <w:lang w:eastAsia="en-US" w:bidi="ar-SA"/>
        </w:rPr>
        <w:t>Сведения об ограничениях права на объект недвижимости</w:t>
      </w:r>
      <w:r>
        <w:rPr>
          <w:rFonts w:ascii="Times New Roman" w:hAnsi="Times New Roman" w:eastAsia="Calibri" w:cs="Times New Roman"/>
          <w:color w:val="auto"/>
          <w:lang w:eastAsia="en-US" w:bidi="ar-SA"/>
        </w:rPr>
        <w:t xml:space="preserve">, обременениях данного объекта, не зарегистрированных в реестре прав, ограничений прав и обременений недвижимого имущества: </w:t>
      </w:r>
      <w:r>
        <w:rPr>
          <w:rFonts w:ascii="Times New Roman" w:hAnsi="Times New Roman" w:eastAsia="Calibri" w:cs="Times New Roman"/>
          <w:color w:val="auto"/>
          <w:lang w:val="ru-RU" w:eastAsia="en-US" w:bidi="ar-SA"/>
        </w:rPr>
        <w:t>нет</w:t>
      </w:r>
      <w:r>
        <w:rPr>
          <w:rFonts w:hint="default" w:ascii="Times New Roman" w:hAnsi="Times New Roman" w:eastAsia="Calibri" w:cs="Times New Roman"/>
          <w:color w:val="auto"/>
          <w:lang w:val="ru-RU" w:eastAsia="en-US" w:bidi="ar-SA"/>
        </w:rPr>
        <w:t>.</w:t>
      </w:r>
    </w:p>
    <w:p w14:paraId="51AA106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b/>
          <w:color w:val="auto"/>
          <w:lang w:bidi="ar-SA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 </w:t>
      </w:r>
      <w:r>
        <w:rPr>
          <w:rFonts w:ascii="Times New Roman" w:hAnsi="Times New Roman" w:eastAsia="Calibri" w:cs="Times New Roman"/>
          <w:color w:val="auto"/>
          <w:lang w:bidi="ar-SA"/>
        </w:rPr>
        <w:t xml:space="preserve">определены Правилами землепользования и застройки </w:t>
      </w:r>
      <w:r>
        <w:rPr>
          <w:rFonts w:ascii="Times New Roman" w:hAnsi="Times New Roman" w:eastAsia="Calibri" w:cs="Times New Roman"/>
          <w:bCs/>
          <w:color w:val="auto"/>
          <w:lang w:val="ru-RU" w:bidi="ar-SA"/>
        </w:rPr>
        <w:t>Верх</w:t>
      </w:r>
      <w:r>
        <w:rPr>
          <w:rFonts w:hint="default" w:ascii="Times New Roman" w:hAnsi="Times New Roman" w:eastAsia="Calibri" w:cs="Times New Roman"/>
          <w:bCs/>
          <w:color w:val="auto"/>
          <w:lang w:val="ru-RU" w:bidi="ar-SA"/>
        </w:rPr>
        <w:t>-Уймонского</w:t>
      </w:r>
      <w:r>
        <w:rPr>
          <w:rFonts w:ascii="Times New Roman" w:hAnsi="Times New Roman" w:eastAsia="Calibri" w:cs="Times New Roman"/>
          <w:color w:val="auto"/>
          <w:lang w:bidi="ar-SA"/>
        </w:rPr>
        <w:t xml:space="preserve"> сельского поселения:</w:t>
      </w:r>
    </w:p>
    <w:p w14:paraId="10A9448A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30%.</w:t>
      </w:r>
    </w:p>
    <w:p w14:paraId="7542B9D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 xml:space="preserve"> Предельные размеры земельных участков (далее ЗУ) для индивидуального жилищного строительства (ИЖС) и личного подсобного хозяйства (ЛПХ) устанавливаются органами местного самоуправления.</w:t>
      </w:r>
    </w:p>
    <w:p w14:paraId="34C3CE52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Верх-Уймонского СП Усть-Коксинского района:</w:t>
      </w:r>
    </w:p>
    <w:p w14:paraId="0ABFE27F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>– для ведения личного подсобного хозяйства или индивидуального жилищного строительства:</w:t>
      </w:r>
    </w:p>
    <w:p w14:paraId="5DE617A4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 xml:space="preserve">– минимальный размер – 0,06 га в населенных пунктах; </w:t>
      </w:r>
    </w:p>
    <w:p w14:paraId="705D94B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>– максимальные размеры земельных участков - 0, 18 га;</w:t>
      </w:r>
    </w:p>
    <w:p w14:paraId="7460AA74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 xml:space="preserve">В случаях, когда размер формируемого земельного участка, находящегося в фактическом пользовании граждан до 2010 года, то для данного земельного участка его размеры являются: </w:t>
      </w:r>
    </w:p>
    <w:p w14:paraId="618C7D5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 xml:space="preserve">- предельные максимальные размеры – 0, 30 га; </w:t>
      </w:r>
    </w:p>
    <w:p w14:paraId="775D5BF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>- предельные минимальные размеры – 0,20 га.</w:t>
      </w:r>
    </w:p>
    <w:p w14:paraId="463A22B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 xml:space="preserve">Допускается для ведения ЛПХ выделение части ЗУ до установленной max нормы, за пределами жилой зоны. </w:t>
      </w:r>
    </w:p>
    <w:p w14:paraId="339F3BA2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>Этажность - до 3 этажей.</w:t>
      </w:r>
    </w:p>
    <w:p w14:paraId="5651615A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>Минимальный отступ от красной линии улиц – 5 м, от проездов – 3 м.</w:t>
      </w:r>
    </w:p>
    <w:p w14:paraId="156487D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>Расстояние от границ соседних участков жилого дома не менее 3 м, вспомогательных строений не менее 1 м.</w:t>
      </w:r>
    </w:p>
    <w:p w14:paraId="4CB5A662">
      <w:pPr>
        <w:keepNext/>
        <w:keepLines/>
        <w:widowControl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>Если дом высотой до трех надземных этажей, то расстояние от окон жилых комнат до стен соседнего дома и вспомогательных построек, расположенных на соседнем ЗУ не менее 6 м.</w:t>
      </w:r>
    </w:p>
    <w:p w14:paraId="4273B2F2">
      <w:pPr>
        <w:keepNext/>
        <w:keepLines/>
        <w:widowControl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«Системы противопожарной защиты. Ограничение распространения пожара на объектах защиты. Требования к объемно-планировочным и конструктивным решениям» и Приложению 1 Федерального закона от 22 июля 2008 г. № 123-ФЗ «Технический регламент о требованиях пожарной безопасности».</w:t>
      </w:r>
    </w:p>
    <w:p w14:paraId="49BDCD84">
      <w:pPr>
        <w:keepNext/>
        <w:keepLines/>
        <w:widowControl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>Противопожарный разрыв в зависимости от степени огнестойкости ОКС составляет 6 - 15 м.</w:t>
      </w:r>
    </w:p>
    <w:p w14:paraId="5CBE7D42">
      <w:pPr>
        <w:keepNext/>
        <w:keepLines/>
        <w:widowControl/>
        <w:ind w:firstLine="567"/>
        <w:jc w:val="both"/>
        <w:rPr>
          <w:rFonts w:ascii="Times New Roman" w:hAnsi="Times New Roman" w:eastAsia="Times New Roman" w:cs="Times New Roman"/>
          <w:bCs/>
          <w:color w:val="auto"/>
          <w:lang w:bidi="ar-SA"/>
        </w:rPr>
      </w:pPr>
      <w:r>
        <w:rPr>
          <w:rFonts w:ascii="Times New Roman" w:hAnsi="Times New Roman" w:eastAsia="Times New Roman" w:cs="Times New Roman"/>
          <w:b/>
          <w:color w:val="auto"/>
          <w:lang w:bidi="ar-SA"/>
        </w:rPr>
        <w:t>Сведения о технических условиях подключения</w:t>
      </w:r>
      <w:r>
        <w:rPr>
          <w:rFonts w:ascii="Times New Roman" w:hAnsi="Times New Roman" w:eastAsia="Times New Roman" w:cs="Times New Roman"/>
          <w:bCs/>
          <w:color w:val="auto"/>
          <w:lang w:bidi="ar-SA"/>
        </w:rPr>
        <w:t xml:space="preserve"> (технологического присоединения) объекта капитального строительства к сетям инженерно - технического обеспечения: </w:t>
      </w:r>
    </w:p>
    <w:p w14:paraId="0C7E4D4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bCs/>
          <w:color w:val="auto"/>
          <w:lang w:bidi="ar-SA"/>
        </w:rPr>
        <w:t>В соответствии с информацией МУП «ТепловодСтрой Сервис» и МУП «Теплоресурс»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>
        <w:rPr>
          <w:rFonts w:ascii="Times New Roman" w:hAnsi="Times New Roman" w:eastAsia="Times New Roman" w:cs="Times New Roman"/>
          <w:color w:val="auto"/>
          <w:lang w:bidi="ar-SA"/>
        </w:rPr>
        <w:t xml:space="preserve"> отсутствует. </w:t>
      </w:r>
    </w:p>
    <w:p w14:paraId="5B05FD8F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5F129CA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eastAsia="en-US" w:bidi="ar-SA"/>
        </w:rPr>
      </w:pPr>
      <w:r>
        <w:rPr>
          <w:rFonts w:ascii="Times New Roman" w:hAnsi="Times New Roman" w:cs="Times New Roman"/>
          <w:b/>
          <w:bCs/>
          <w:color w:val="auto"/>
        </w:rPr>
        <w:t xml:space="preserve">Сведения </w:t>
      </w:r>
      <w:r>
        <w:rPr>
          <w:rFonts w:ascii="Times New Roman" w:hAnsi="Times New Roman" w:cs="Times New Roman" w:eastAsiaTheme="minorHAnsi"/>
          <w:b/>
          <w:bCs/>
          <w:color w:val="auto"/>
          <w:lang w:eastAsia="en-US"/>
        </w:rPr>
        <w:t>о дате размещения извещения</w:t>
      </w:r>
      <w:r>
        <w:rPr>
          <w:rFonts w:ascii="Times New Roman" w:hAnsi="Times New Roman" w:cs="Times New Roman" w:eastAsiaTheme="minorHAnsi"/>
          <w:color w:val="auto"/>
          <w:lang w:eastAsia="en-US"/>
        </w:rPr>
        <w:t xml:space="preserve"> в соответствии с </w:t>
      </w:r>
      <w:r>
        <w:fldChar w:fldCharType="begin"/>
      </w:r>
      <w:r>
        <w:instrText xml:space="preserve"> HYPERLINK "https://login.consultant.ru/link/?req=doc&amp;base=LAW&amp;n=483141&amp;dst=2788" </w:instrText>
      </w:r>
      <w:r>
        <w:fldChar w:fldCharType="separate"/>
      </w:r>
      <w:r>
        <w:rPr>
          <w:rFonts w:ascii="Times New Roman" w:hAnsi="Times New Roman" w:cs="Times New Roman" w:eastAsiaTheme="minorHAnsi"/>
          <w:color w:val="auto"/>
          <w:lang w:eastAsia="en-US"/>
        </w:rPr>
        <w:t>подпунктом 1 пункта 1 статьи 39.18</w:t>
      </w:r>
      <w:r>
        <w:rPr>
          <w:rFonts w:ascii="Times New Roman" w:hAnsi="Times New Roman" w:cs="Times New Roman" w:eastAsiaTheme="minorHAnsi"/>
          <w:color w:val="auto"/>
          <w:lang w:eastAsia="en-US"/>
        </w:rPr>
        <w:fldChar w:fldCharType="end"/>
      </w:r>
      <w:r>
        <w:rPr>
          <w:rFonts w:ascii="Times New Roman" w:hAnsi="Times New Roman" w:cs="Times New Roman" w:eastAsiaTheme="minorHAnsi"/>
          <w:color w:val="auto"/>
          <w:lang w:eastAsia="en-US"/>
        </w:rPr>
        <w:t xml:space="preserve"> настоящего Кодекса: </w:t>
      </w:r>
      <w:r>
        <w:rPr>
          <w:rFonts w:hint="default" w:ascii="Times New Roman" w:hAnsi="Times New Roman" w:cs="Times New Roman" w:eastAsiaTheme="minorHAnsi"/>
          <w:color w:val="auto"/>
          <w:lang w:val="ru-RU" w:eastAsia="en-US"/>
        </w:rPr>
        <w:t xml:space="preserve">20.08.2024 </w:t>
      </w:r>
      <w:r>
        <w:rPr>
          <w:rFonts w:ascii="Times New Roman" w:hAnsi="Times New Roman" w:cs="Times New Roman" w:eastAsiaTheme="minorHAnsi"/>
          <w:color w:val="auto"/>
          <w:lang w:eastAsia="en-US"/>
        </w:rPr>
        <w:t>г.</w:t>
      </w:r>
    </w:p>
    <w:p w14:paraId="34F03D6B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eastAsia="Times New Roman" w:cs="Times New Roman"/>
          <w:bCs/>
          <w:color w:val="auto"/>
          <w:lang w:bidi="ar-SA"/>
        </w:rPr>
      </w:pPr>
      <w:r>
        <w:rPr>
          <w:rFonts w:ascii="Times New Roman" w:hAnsi="Times New Roman" w:eastAsia="Calibri" w:cs="Times New Roman"/>
          <w:b/>
          <w:bCs/>
          <w:color w:val="auto"/>
          <w:lang w:eastAsia="en-US" w:bidi="ar-SA"/>
        </w:rPr>
        <w:t>Начальная цена предмета аукциона</w:t>
      </w:r>
      <w:r>
        <w:rPr>
          <w:rFonts w:ascii="Times New Roman" w:hAnsi="Times New Roman" w:eastAsia="Calibri" w:cs="Times New Roman"/>
          <w:color w:val="auto"/>
          <w:lang w:eastAsia="en-US" w:bidi="ar-SA"/>
        </w:rPr>
        <w:t xml:space="preserve"> (размера ежегодной арендной платы): </w:t>
      </w:r>
      <w:r>
        <w:rPr>
          <w:rFonts w:hint="default" w:ascii="Times New Roman" w:hAnsi="Times New Roman" w:eastAsia="Calibri" w:cs="Times New Roman"/>
          <w:color w:val="auto"/>
          <w:lang w:val="ru-RU" w:eastAsia="en-US" w:bidi="ar-SA"/>
        </w:rPr>
        <w:t>62866 руб</w:t>
      </w:r>
      <w:r>
        <w:rPr>
          <w:rFonts w:ascii="Times New Roman" w:hAnsi="Times New Roman" w:eastAsia="Times New Roman" w:cs="Times New Roman"/>
          <w:bCs/>
          <w:color w:val="auto"/>
          <w:lang w:bidi="ar-SA"/>
        </w:rPr>
        <w:t xml:space="preserve">.  </w:t>
      </w:r>
    </w:p>
    <w:p w14:paraId="0AC69DEC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eastAsia="Times New Roman" w:cs="Times New Roman"/>
          <w:bCs/>
          <w:color w:val="auto"/>
          <w:lang w:bidi="ar-SA"/>
        </w:rPr>
      </w:pPr>
      <w:r>
        <w:rPr>
          <w:rFonts w:ascii="Times New Roman" w:hAnsi="Times New Roman" w:eastAsia="Calibri" w:cs="Times New Roman"/>
          <w:b/>
          <w:bCs/>
          <w:color w:val="auto"/>
          <w:lang w:eastAsia="en-US" w:bidi="ar-SA"/>
        </w:rPr>
        <w:t>Размер задатка</w:t>
      </w:r>
      <w:r>
        <w:rPr>
          <w:rFonts w:ascii="Times New Roman" w:hAnsi="Times New Roman" w:eastAsia="Calibri" w:cs="Times New Roman"/>
          <w:color w:val="auto"/>
          <w:lang w:eastAsia="en-US" w:bidi="ar-SA"/>
        </w:rPr>
        <w:t xml:space="preserve">: </w:t>
      </w:r>
      <w:r>
        <w:rPr>
          <w:rFonts w:hint="default" w:ascii="Times New Roman" w:hAnsi="Times New Roman" w:eastAsia="Times New Roman" w:cs="Times New Roman"/>
          <w:bCs/>
          <w:color w:val="auto"/>
          <w:lang w:val="ru-RU" w:bidi="ar-SA"/>
        </w:rPr>
        <w:t>30 000</w:t>
      </w:r>
      <w:r>
        <w:rPr>
          <w:rFonts w:ascii="Times New Roman" w:hAnsi="Times New Roman" w:eastAsia="Times New Roman" w:cs="Times New Roman"/>
          <w:bCs/>
          <w:color w:val="auto"/>
          <w:lang w:bidi="ar-SA"/>
        </w:rPr>
        <w:t xml:space="preserve"> </w:t>
      </w:r>
      <w:r>
        <w:rPr>
          <w:rFonts w:ascii="Times New Roman" w:hAnsi="Times New Roman" w:eastAsia="Calibri" w:cs="Times New Roman"/>
          <w:color w:val="auto"/>
          <w:lang w:eastAsia="en-US" w:bidi="ar-SA"/>
        </w:rPr>
        <w:t xml:space="preserve">руб. </w:t>
      </w:r>
    </w:p>
    <w:p w14:paraId="04FE6895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eastAsia="en-US" w:bidi="ar-SA"/>
        </w:rPr>
      </w:pPr>
      <w:r>
        <w:rPr>
          <w:rFonts w:ascii="Times New Roman" w:hAnsi="Times New Roman" w:eastAsia="Calibri" w:cs="Times New Roman"/>
          <w:b/>
          <w:bCs/>
          <w:color w:val="auto"/>
          <w:lang w:eastAsia="en-US" w:bidi="ar-SA"/>
        </w:rPr>
        <w:t>Шаг аукциона</w:t>
      </w:r>
      <w:r>
        <w:rPr>
          <w:rFonts w:ascii="Times New Roman" w:hAnsi="Times New Roman" w:eastAsia="Calibri" w:cs="Times New Roman"/>
          <w:color w:val="auto"/>
          <w:lang w:eastAsia="en-US" w:bidi="ar-SA"/>
        </w:rPr>
        <w:t xml:space="preserve">: </w:t>
      </w:r>
      <w:r>
        <w:rPr>
          <w:rFonts w:hint="default" w:ascii="Times New Roman" w:hAnsi="Times New Roman" w:eastAsia="Calibri" w:cs="Times New Roman"/>
          <w:color w:val="auto"/>
          <w:lang w:val="ru-RU" w:eastAsia="en-US" w:bidi="ar-SA"/>
        </w:rPr>
        <w:t>3 143</w:t>
      </w:r>
      <w:r>
        <w:rPr>
          <w:rFonts w:ascii="Times New Roman" w:hAnsi="Times New Roman" w:eastAsia="Calibri" w:cs="Times New Roman"/>
          <w:color w:val="auto"/>
          <w:lang w:eastAsia="en-US" w:bidi="ar-SA"/>
        </w:rPr>
        <w:t xml:space="preserve"> руб.</w:t>
      </w:r>
    </w:p>
    <w:p w14:paraId="717AB043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eastAsia="Times New Roman" w:cs="Times New Roman"/>
          <w:bCs/>
          <w:color w:val="auto"/>
          <w:lang w:bidi="ar-SA"/>
        </w:rPr>
      </w:pPr>
    </w:p>
    <w:p w14:paraId="0B7988BD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eastAsia="Times New Roman" w:cs="Times New Roman"/>
          <w:bCs/>
          <w:color w:val="auto"/>
          <w:lang w:bidi="ar-SA"/>
        </w:rPr>
      </w:pPr>
      <w:r>
        <w:rPr>
          <w:rFonts w:ascii="Times New Roman" w:hAnsi="Times New Roman" w:eastAsia="Times New Roman" w:cs="Times New Roman"/>
          <w:b/>
          <w:color w:val="auto"/>
          <w:lang w:bidi="ar-SA"/>
        </w:rPr>
        <w:t xml:space="preserve">Лот № </w:t>
      </w:r>
      <w:r>
        <w:rPr>
          <w:rFonts w:hint="default" w:ascii="Times New Roman" w:hAnsi="Times New Roman" w:eastAsia="Times New Roman" w:cs="Times New Roman"/>
          <w:b/>
          <w:color w:val="auto"/>
          <w:lang w:val="ru-RU" w:bidi="ar-SA"/>
        </w:rPr>
        <w:t>4</w:t>
      </w:r>
      <w:r>
        <w:rPr>
          <w:rFonts w:ascii="Times New Roman" w:hAnsi="Times New Roman" w:eastAsia="Times New Roman" w:cs="Times New Roman"/>
          <w:b/>
          <w:color w:val="auto"/>
          <w:lang w:bidi="ar-SA"/>
        </w:rPr>
        <w:t xml:space="preserve"> -</w:t>
      </w:r>
      <w:r>
        <w:rPr>
          <w:rFonts w:ascii="Times New Roman" w:hAnsi="Times New Roman" w:eastAsia="Times New Roman" w:cs="Times New Roman"/>
          <w:bCs/>
          <w:color w:val="auto"/>
          <w:lang w:bidi="ar-SA"/>
        </w:rPr>
        <w:t xml:space="preserve">право на заключение договора аренды </w:t>
      </w:r>
      <w:r>
        <w:rPr>
          <w:rFonts w:ascii="Times New Roman" w:hAnsi="Times New Roman" w:eastAsia="Times New Roman" w:cs="Times New Roman"/>
          <w:color w:val="auto"/>
          <w:lang w:bidi="ar-SA"/>
        </w:rPr>
        <w:t xml:space="preserve">земельного участка, </w:t>
      </w:r>
      <w:r>
        <w:rPr>
          <w:rFonts w:ascii="Times New Roman" w:hAnsi="Times New Roman" w:eastAsia="Times New Roman" w:cs="Times New Roman"/>
          <w:bCs/>
          <w:color w:val="auto"/>
          <w:lang w:bidi="ar-SA"/>
        </w:rPr>
        <w:t>сроком 20 лет, относящегося к категории земель населенных пунктов, с кадастровым номером 04:08:0</w:t>
      </w:r>
      <w:r>
        <w:rPr>
          <w:rFonts w:hint="default" w:ascii="Times New Roman" w:hAnsi="Times New Roman" w:eastAsia="Times New Roman" w:cs="Times New Roman"/>
          <w:bCs/>
          <w:color w:val="auto"/>
          <w:lang w:val="ru-RU" w:bidi="ar-SA"/>
        </w:rPr>
        <w:t>10136:272</w:t>
      </w:r>
      <w:r>
        <w:rPr>
          <w:rFonts w:ascii="Times New Roman" w:hAnsi="Times New Roman" w:eastAsia="Times New Roman" w:cs="Times New Roman"/>
          <w:bCs/>
          <w:color w:val="auto"/>
          <w:lang w:bidi="ar-SA"/>
        </w:rPr>
        <w:t xml:space="preserve">, площадью </w:t>
      </w:r>
      <w:r>
        <w:rPr>
          <w:rFonts w:hint="default" w:ascii="Times New Roman" w:hAnsi="Times New Roman" w:eastAsia="Times New Roman" w:cs="Times New Roman"/>
          <w:bCs/>
          <w:color w:val="auto"/>
          <w:lang w:val="ru-RU" w:bidi="ar-SA"/>
        </w:rPr>
        <w:t xml:space="preserve">1004 </w:t>
      </w:r>
      <w:r>
        <w:rPr>
          <w:rFonts w:ascii="Times New Roman" w:hAnsi="Times New Roman" w:eastAsia="Times New Roman" w:cs="Times New Roman"/>
          <w:bCs/>
          <w:color w:val="auto"/>
          <w:lang w:bidi="ar-SA"/>
        </w:rPr>
        <w:t xml:space="preserve">кв. м, местоположение: </w:t>
      </w:r>
      <w:r>
        <w:rPr>
          <w:rFonts w:ascii="Times New Roman" w:hAnsi="Times New Roman" w:eastAsia="Times New Roman" w:cs="Times New Roman"/>
          <w:b/>
          <w:color w:val="auto"/>
          <w:lang w:bidi="ar-SA"/>
        </w:rPr>
        <w:t xml:space="preserve">Республика Алтай, Усть-Коксинский район, с. Усть-Кокса, </w:t>
      </w:r>
      <w:r>
        <w:rPr>
          <w:rFonts w:ascii="Times New Roman" w:hAnsi="Times New Roman" w:eastAsia="Times New Roman" w:cs="Times New Roman"/>
          <w:b/>
          <w:color w:val="auto"/>
          <w:lang w:val="ru-RU" w:bidi="ar-SA"/>
        </w:rPr>
        <w:t>ул</w:t>
      </w:r>
      <w:r>
        <w:rPr>
          <w:rFonts w:hint="default" w:ascii="Times New Roman" w:hAnsi="Times New Roman" w:eastAsia="Times New Roman" w:cs="Times New Roman"/>
          <w:b/>
          <w:color w:val="auto"/>
          <w:lang w:val="ru-RU" w:bidi="ar-SA"/>
        </w:rPr>
        <w:t>.Аргучинского, земельный участок 27А</w:t>
      </w:r>
      <w:r>
        <w:rPr>
          <w:rFonts w:ascii="Times New Roman" w:hAnsi="Times New Roman" w:eastAsia="Times New Roman" w:cs="Times New Roman"/>
          <w:bCs/>
          <w:color w:val="auto"/>
          <w:lang w:bidi="ar-SA"/>
        </w:rPr>
        <w:t>, с разрешённым использованием: для индивидуального жилищного строительства.</w:t>
      </w:r>
    </w:p>
    <w:p w14:paraId="55EFE37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eastAsia="en-US" w:bidi="ar-SA"/>
        </w:rPr>
      </w:pPr>
      <w:r>
        <w:rPr>
          <w:rFonts w:ascii="Times New Roman" w:hAnsi="Times New Roman" w:eastAsia="Calibri" w:cs="Times New Roman"/>
          <w:b/>
          <w:bCs/>
          <w:color w:val="auto"/>
          <w:lang w:eastAsia="en-US" w:bidi="ar-SA"/>
        </w:rPr>
        <w:t>Сведения о правах на земельный участок</w:t>
      </w:r>
      <w:r>
        <w:rPr>
          <w:rFonts w:ascii="Times New Roman" w:hAnsi="Times New Roman" w:eastAsia="Calibri" w:cs="Times New Roman"/>
          <w:color w:val="auto"/>
          <w:lang w:eastAsia="en-US" w:bidi="ar-SA"/>
        </w:rPr>
        <w:t>: государственная неразграниченная собственность.</w:t>
      </w:r>
    </w:p>
    <w:p w14:paraId="4246844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eastAsia="en-US" w:bidi="ar-SA"/>
        </w:rPr>
      </w:pPr>
      <w:r>
        <w:rPr>
          <w:rFonts w:ascii="Times New Roman" w:hAnsi="Times New Roman" w:eastAsia="Calibri" w:cs="Times New Roman"/>
          <w:b/>
          <w:bCs/>
          <w:color w:val="auto"/>
          <w:lang w:eastAsia="en-US" w:bidi="ar-SA"/>
        </w:rPr>
        <w:t>Сведения об ограничениях прав</w:t>
      </w:r>
      <w:r>
        <w:rPr>
          <w:rFonts w:ascii="Times New Roman" w:hAnsi="Times New Roman" w:eastAsia="Calibri" w:cs="Times New Roman"/>
          <w:color w:val="auto"/>
          <w:lang w:eastAsia="en-US" w:bidi="ar-SA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</w:p>
    <w:p w14:paraId="6CDE7C9F">
      <w:pPr>
        <w:numPr>
          <w:ilvl w:val="0"/>
          <w:numId w:val="4"/>
        </w:num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eastAsia="en-US" w:bidi="ar-SA"/>
        </w:rPr>
      </w:pPr>
      <w:r>
        <w:rPr>
          <w:rFonts w:hint="default" w:ascii="Times New Roman" w:hAnsi="Times New Roman" w:eastAsia="Calibri" w:cs="Times New Roman"/>
          <w:color w:val="auto"/>
          <w:lang w:val="ru-RU" w:eastAsia="en-US" w:bidi="ar-SA"/>
        </w:rPr>
        <w:t>Прибрежная защитная полоса реки Кокса (Хайдун) (номер зоны 04:00-6.193, ограничения установлены ст.65 Водного кодекса РФ);</w:t>
      </w:r>
    </w:p>
    <w:p w14:paraId="386237A3">
      <w:pPr>
        <w:numPr>
          <w:ilvl w:val="0"/>
          <w:numId w:val="4"/>
        </w:numPr>
        <w:autoSpaceDE w:val="0"/>
        <w:autoSpaceDN w:val="0"/>
        <w:adjustRightInd w:val="0"/>
        <w:ind w:left="0" w:leftChars="0" w:firstLine="567" w:firstLineChars="0"/>
        <w:jc w:val="both"/>
        <w:rPr>
          <w:rFonts w:hint="default" w:ascii="Times New Roman" w:hAnsi="Times New Roman" w:eastAsia="Calibri" w:cs="Times New Roman"/>
          <w:color w:val="auto"/>
          <w:lang w:val="ru-RU" w:eastAsia="en-US" w:bidi="ar-SA"/>
        </w:rPr>
      </w:pPr>
      <w:r>
        <w:rPr>
          <w:rFonts w:hint="default" w:ascii="Times New Roman" w:hAnsi="Times New Roman" w:eastAsia="Calibri" w:cs="Times New Roman"/>
          <w:color w:val="auto"/>
          <w:lang w:val="ru-RU" w:eastAsia="en-US" w:bidi="ar-SA"/>
        </w:rPr>
        <w:t>Водоохранная зона реки Кокса (Хайдун)  (номер зоны 04:00-6.214, ограничения установлены ст.65 Водного кодекса РФ).</w:t>
      </w:r>
    </w:p>
    <w:p w14:paraId="7F0A5893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b/>
          <w:color w:val="auto"/>
          <w:lang w:bidi="ar-SA"/>
        </w:rPr>
        <w:t xml:space="preserve">Сведения о максимально и (или) минимально допустимых параметрах разрешенного строительства </w:t>
      </w:r>
      <w:r>
        <w:rPr>
          <w:rFonts w:ascii="Times New Roman" w:hAnsi="Times New Roman" w:eastAsia="Calibri" w:cs="Times New Roman"/>
          <w:bCs/>
          <w:color w:val="auto"/>
          <w:lang w:bidi="ar-SA"/>
        </w:rPr>
        <w:t>объекта капитального строительства</w:t>
      </w:r>
      <w:r>
        <w:rPr>
          <w:rFonts w:ascii="Times New Roman" w:hAnsi="Times New Roman" w:eastAsia="Calibri" w:cs="Times New Roman"/>
          <w:b/>
          <w:color w:val="auto"/>
          <w:lang w:bidi="ar-SA"/>
        </w:rPr>
        <w:t xml:space="preserve"> </w:t>
      </w:r>
      <w:r>
        <w:rPr>
          <w:rFonts w:ascii="Times New Roman" w:hAnsi="Times New Roman" w:eastAsia="Calibri" w:cs="Times New Roman"/>
          <w:color w:val="auto"/>
          <w:lang w:bidi="ar-SA"/>
        </w:rPr>
        <w:t xml:space="preserve">определены Правилами землепользования и застройки </w:t>
      </w:r>
      <w:r>
        <w:rPr>
          <w:rFonts w:ascii="Times New Roman" w:hAnsi="Times New Roman" w:eastAsia="Calibri" w:cs="Times New Roman"/>
          <w:bCs/>
          <w:color w:val="auto"/>
          <w:lang w:bidi="ar-SA"/>
        </w:rPr>
        <w:t>Усть-Коксинского</w:t>
      </w:r>
      <w:r>
        <w:rPr>
          <w:rFonts w:ascii="Times New Roman" w:hAnsi="Times New Roman" w:eastAsia="Calibri" w:cs="Times New Roman"/>
          <w:color w:val="auto"/>
          <w:lang w:bidi="ar-SA"/>
        </w:rPr>
        <w:t xml:space="preserve"> сельского поселения:</w:t>
      </w:r>
    </w:p>
    <w:p w14:paraId="4A19D96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 xml:space="preserve">- максимальный процент застройки – 50%; </w:t>
      </w:r>
    </w:p>
    <w:p w14:paraId="69F49A7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 xml:space="preserve">- предельные размеры земельных участков (далее ЗУ) для индивидуального жилищного строительства: </w:t>
      </w:r>
    </w:p>
    <w:p w14:paraId="7A15C203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>– минимальный размер – 0,06 га;</w:t>
      </w:r>
    </w:p>
    <w:p w14:paraId="76729C83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>– максимальные размеры земельных участков - 0, 15 га;</w:t>
      </w:r>
    </w:p>
    <w:p w14:paraId="47266AF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 xml:space="preserve">- этажность - до 3 надземных этажей. </w:t>
      </w:r>
    </w:p>
    <w:p w14:paraId="1349D242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>- минимальный отступ от красной линии улиц – 5 м, от проездов – 3 м;</w:t>
      </w:r>
    </w:p>
    <w:p w14:paraId="001BF7A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>- расстояние от границ соседних участков до жилого дома не менее 3 м, вспомогательных строений не менее 1 м;</w:t>
      </w:r>
    </w:p>
    <w:p w14:paraId="2806CD89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>- расстояние от окон жилых комнат до стен соседнего дома и вспомогательных построек, расположенных на соседнем ЗУ не менее 6 м.</w:t>
      </w:r>
    </w:p>
    <w:p w14:paraId="1668B31A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color w:val="auto"/>
          <w:lang w:bidi="ar-SA"/>
        </w:rPr>
        <w:t>- возможно увеличение минимального отступа с поправкой на противопожарный разрыв. Противопожарный разрыв в зависимости от степени огнестойкости ОКС составляет 6-15 м.</w:t>
      </w:r>
    </w:p>
    <w:p w14:paraId="448FD233">
      <w:pPr>
        <w:keepNext/>
        <w:keepLines/>
        <w:widowControl/>
        <w:ind w:firstLine="567"/>
        <w:jc w:val="both"/>
        <w:rPr>
          <w:rFonts w:ascii="Times New Roman" w:hAnsi="Times New Roman" w:eastAsia="Times New Roman" w:cs="Times New Roman"/>
          <w:bCs/>
          <w:color w:val="auto"/>
          <w:lang w:bidi="ar-SA"/>
        </w:rPr>
      </w:pPr>
      <w:r>
        <w:rPr>
          <w:rFonts w:ascii="Times New Roman" w:hAnsi="Times New Roman" w:eastAsia="Times New Roman" w:cs="Times New Roman"/>
          <w:b/>
          <w:color w:val="auto"/>
          <w:lang w:bidi="ar-SA"/>
        </w:rPr>
        <w:t>Сведения о технических условиях подключения</w:t>
      </w:r>
      <w:r>
        <w:rPr>
          <w:rFonts w:ascii="Times New Roman" w:hAnsi="Times New Roman" w:eastAsia="Times New Roman" w:cs="Times New Roman"/>
          <w:bCs/>
          <w:color w:val="auto"/>
          <w:lang w:bidi="ar-SA"/>
        </w:rPr>
        <w:t xml:space="preserve"> (технологического присоединения) объекта капитального строительства к сетям инженерно - технического обеспечения: </w:t>
      </w:r>
    </w:p>
    <w:p w14:paraId="2224B60B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bCs/>
          <w:color w:val="auto"/>
          <w:lang w:bidi="ar-SA"/>
        </w:rPr>
        <w:t>В соответствии с информацией МУП «ТепловодСтрой Сервис» и МУП «Теплоресурс»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>
        <w:rPr>
          <w:rFonts w:ascii="Times New Roman" w:hAnsi="Times New Roman" w:eastAsia="Times New Roman" w:cs="Times New Roman"/>
          <w:color w:val="auto"/>
          <w:lang w:bidi="ar-SA"/>
        </w:rPr>
        <w:t xml:space="preserve"> отсутствует. </w:t>
      </w:r>
    </w:p>
    <w:p w14:paraId="3C84D8B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62839C8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eastAsia="en-US" w:bidi="ar-SA"/>
        </w:rPr>
      </w:pPr>
      <w:r>
        <w:rPr>
          <w:rFonts w:ascii="Times New Roman" w:hAnsi="Times New Roman" w:cs="Times New Roman"/>
          <w:b/>
          <w:bCs/>
          <w:color w:val="auto"/>
        </w:rPr>
        <w:t xml:space="preserve">Сведения </w:t>
      </w:r>
      <w:r>
        <w:rPr>
          <w:rFonts w:ascii="Times New Roman" w:hAnsi="Times New Roman" w:cs="Times New Roman" w:eastAsiaTheme="minorHAnsi"/>
          <w:b/>
          <w:bCs/>
          <w:color w:val="auto"/>
          <w:lang w:eastAsia="en-US"/>
        </w:rPr>
        <w:t>о дате размещения извещения</w:t>
      </w:r>
      <w:r>
        <w:rPr>
          <w:rFonts w:ascii="Times New Roman" w:hAnsi="Times New Roman" w:cs="Times New Roman" w:eastAsiaTheme="minorHAnsi"/>
          <w:color w:val="auto"/>
          <w:lang w:eastAsia="en-US"/>
        </w:rPr>
        <w:t xml:space="preserve"> в соответствии с </w:t>
      </w:r>
      <w:r>
        <w:fldChar w:fldCharType="begin"/>
      </w:r>
      <w:r>
        <w:instrText xml:space="preserve"> HYPERLINK "https://login.consultant.ru/link/?req=doc&amp;base=LAW&amp;n=483141&amp;dst=2788" </w:instrText>
      </w:r>
      <w:r>
        <w:fldChar w:fldCharType="separate"/>
      </w:r>
      <w:r>
        <w:rPr>
          <w:rFonts w:ascii="Times New Roman" w:hAnsi="Times New Roman" w:cs="Times New Roman" w:eastAsiaTheme="minorHAnsi"/>
          <w:color w:val="auto"/>
          <w:lang w:eastAsia="en-US"/>
        </w:rPr>
        <w:t>подпунктом 1 пункта 1 статьи 39.18</w:t>
      </w:r>
      <w:r>
        <w:rPr>
          <w:rFonts w:ascii="Times New Roman" w:hAnsi="Times New Roman" w:cs="Times New Roman" w:eastAsiaTheme="minorHAnsi"/>
          <w:color w:val="auto"/>
          <w:lang w:eastAsia="en-US"/>
        </w:rPr>
        <w:fldChar w:fldCharType="end"/>
      </w:r>
      <w:r>
        <w:rPr>
          <w:rFonts w:ascii="Times New Roman" w:hAnsi="Times New Roman" w:cs="Times New Roman" w:eastAsiaTheme="minorHAnsi"/>
          <w:color w:val="auto"/>
          <w:lang w:eastAsia="en-US"/>
        </w:rPr>
        <w:t xml:space="preserve"> настоящего Кодекса: </w:t>
      </w:r>
      <w:r>
        <w:rPr>
          <w:rFonts w:hint="default" w:ascii="Times New Roman" w:hAnsi="Times New Roman" w:cs="Times New Roman" w:eastAsiaTheme="minorHAnsi"/>
          <w:color w:val="auto"/>
          <w:lang w:val="ru-RU" w:eastAsia="en-US"/>
        </w:rPr>
        <w:t>25.04.2024</w:t>
      </w:r>
      <w:r>
        <w:rPr>
          <w:rFonts w:ascii="Times New Roman" w:hAnsi="Times New Roman" w:cs="Times New Roman" w:eastAsiaTheme="minorHAnsi"/>
          <w:color w:val="auto"/>
          <w:lang w:eastAsia="en-US"/>
        </w:rPr>
        <w:t xml:space="preserve"> г.</w:t>
      </w:r>
    </w:p>
    <w:p w14:paraId="62159C16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eastAsia="Times New Roman" w:cs="Times New Roman"/>
          <w:bCs/>
          <w:color w:val="auto"/>
          <w:lang w:bidi="ar-SA"/>
        </w:rPr>
      </w:pPr>
      <w:r>
        <w:rPr>
          <w:rFonts w:ascii="Times New Roman" w:hAnsi="Times New Roman" w:eastAsia="Calibri" w:cs="Times New Roman"/>
          <w:b/>
          <w:bCs/>
          <w:color w:val="auto"/>
          <w:lang w:eastAsia="en-US" w:bidi="ar-SA"/>
        </w:rPr>
        <w:t>Начальная цена предмета аукциона</w:t>
      </w:r>
      <w:r>
        <w:rPr>
          <w:rFonts w:ascii="Times New Roman" w:hAnsi="Times New Roman" w:eastAsia="Calibri" w:cs="Times New Roman"/>
          <w:color w:val="auto"/>
          <w:lang w:eastAsia="en-US" w:bidi="ar-SA"/>
        </w:rPr>
        <w:t xml:space="preserve"> (размера ежегодной арендной платы): </w:t>
      </w:r>
      <w:r>
        <w:rPr>
          <w:rFonts w:hint="default" w:ascii="Times New Roman" w:hAnsi="Times New Roman" w:eastAsia="Times New Roman" w:cs="Times New Roman"/>
          <w:bCs/>
          <w:color w:val="auto"/>
          <w:lang w:val="ru-RU" w:bidi="ar-SA"/>
        </w:rPr>
        <w:t xml:space="preserve">146584 </w:t>
      </w:r>
      <w:r>
        <w:rPr>
          <w:rFonts w:ascii="Times New Roman" w:hAnsi="Times New Roman" w:eastAsia="Times New Roman" w:cs="Times New Roman"/>
          <w:bCs/>
          <w:color w:val="auto"/>
          <w:lang w:bidi="ar-SA"/>
        </w:rPr>
        <w:t>руб.</w:t>
      </w:r>
    </w:p>
    <w:p w14:paraId="0DFD1F06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eastAsia="en-US" w:bidi="ar-SA"/>
        </w:rPr>
      </w:pPr>
      <w:r>
        <w:rPr>
          <w:rFonts w:ascii="Times New Roman" w:hAnsi="Times New Roman" w:eastAsia="Calibri" w:cs="Times New Roman"/>
          <w:b/>
          <w:bCs/>
          <w:color w:val="auto"/>
          <w:lang w:eastAsia="en-US" w:bidi="ar-SA"/>
        </w:rPr>
        <w:t>Размер задатка</w:t>
      </w:r>
      <w:r>
        <w:rPr>
          <w:rFonts w:ascii="Times New Roman" w:hAnsi="Times New Roman" w:eastAsia="Calibri" w:cs="Times New Roman"/>
          <w:color w:val="auto"/>
          <w:lang w:eastAsia="en-US" w:bidi="ar-SA"/>
        </w:rPr>
        <w:t xml:space="preserve">: </w:t>
      </w:r>
      <w:r>
        <w:rPr>
          <w:rFonts w:hint="default" w:ascii="Times New Roman" w:hAnsi="Times New Roman" w:eastAsia="Times New Roman" w:cs="Times New Roman"/>
          <w:bCs/>
          <w:color w:val="auto"/>
          <w:lang w:val="ru-RU" w:bidi="ar-SA"/>
        </w:rPr>
        <w:t xml:space="preserve">70 000 </w:t>
      </w:r>
      <w:r>
        <w:rPr>
          <w:rFonts w:ascii="Times New Roman" w:hAnsi="Times New Roman" w:eastAsia="Times New Roman" w:cs="Times New Roman"/>
          <w:bCs/>
          <w:color w:val="auto"/>
          <w:lang w:bidi="ar-SA"/>
        </w:rPr>
        <w:t xml:space="preserve"> </w:t>
      </w:r>
      <w:r>
        <w:rPr>
          <w:rFonts w:ascii="Times New Roman" w:hAnsi="Times New Roman" w:eastAsia="Calibri" w:cs="Times New Roman"/>
          <w:color w:val="auto"/>
          <w:lang w:eastAsia="en-US" w:bidi="ar-SA"/>
        </w:rPr>
        <w:t xml:space="preserve">руб. </w:t>
      </w:r>
    </w:p>
    <w:p w14:paraId="7E515DC1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eastAsia="en-US" w:bidi="ar-SA"/>
        </w:rPr>
      </w:pPr>
      <w:r>
        <w:rPr>
          <w:rFonts w:ascii="Times New Roman" w:hAnsi="Times New Roman" w:eastAsia="Calibri" w:cs="Times New Roman"/>
          <w:b/>
          <w:bCs/>
          <w:color w:val="auto"/>
          <w:lang w:eastAsia="en-US" w:bidi="ar-SA"/>
        </w:rPr>
        <w:t>Шаг аукциона:</w:t>
      </w:r>
      <w:r>
        <w:rPr>
          <w:rFonts w:ascii="Times New Roman" w:hAnsi="Times New Roman" w:eastAsia="Calibri" w:cs="Times New Roman"/>
          <w:color w:val="auto"/>
          <w:lang w:eastAsia="en-US" w:bidi="ar-SA"/>
        </w:rPr>
        <w:t xml:space="preserve"> </w:t>
      </w:r>
      <w:r>
        <w:rPr>
          <w:rFonts w:hint="default" w:ascii="Times New Roman" w:hAnsi="Times New Roman" w:eastAsia="Calibri" w:cs="Times New Roman"/>
          <w:color w:val="auto"/>
          <w:lang w:val="ru-RU" w:eastAsia="en-US" w:bidi="ar-SA"/>
        </w:rPr>
        <w:t>7329</w:t>
      </w:r>
      <w:r>
        <w:rPr>
          <w:rFonts w:ascii="Times New Roman" w:hAnsi="Times New Roman" w:eastAsia="Calibri" w:cs="Times New Roman"/>
          <w:color w:val="auto"/>
          <w:lang w:eastAsia="en-US" w:bidi="ar-SA"/>
        </w:rPr>
        <w:t xml:space="preserve"> руб. </w:t>
      </w:r>
    </w:p>
    <w:p w14:paraId="04A203BF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eastAsia="Times New Roman" w:cs="Times New Roman"/>
          <w:bCs/>
          <w:color w:val="auto"/>
          <w:lang w:bidi="ar-SA"/>
        </w:rPr>
      </w:pPr>
    </w:p>
    <w:p w14:paraId="79355AEC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eastAsia="Times New Roman" w:cs="Times New Roman"/>
          <w:bCs/>
          <w:color w:val="auto"/>
          <w:lang w:bidi="ar-SA"/>
        </w:rPr>
      </w:pPr>
      <w:r>
        <w:rPr>
          <w:rFonts w:ascii="Times New Roman" w:hAnsi="Times New Roman" w:eastAsia="Times New Roman" w:cs="Times New Roman"/>
          <w:b/>
          <w:color w:val="auto"/>
          <w:lang w:bidi="ar-SA"/>
        </w:rPr>
        <w:t xml:space="preserve">Лот № </w:t>
      </w:r>
      <w:r>
        <w:rPr>
          <w:rFonts w:hint="default" w:ascii="Times New Roman" w:hAnsi="Times New Roman" w:eastAsia="Times New Roman" w:cs="Times New Roman"/>
          <w:b/>
          <w:color w:val="auto"/>
          <w:lang w:val="ru-RU" w:bidi="ar-SA"/>
        </w:rPr>
        <w:t>5</w:t>
      </w:r>
      <w:r>
        <w:rPr>
          <w:rFonts w:ascii="Times New Roman" w:hAnsi="Times New Roman" w:eastAsia="Times New Roman" w:cs="Times New Roman"/>
          <w:b/>
          <w:color w:val="auto"/>
          <w:lang w:bidi="ar-SA"/>
        </w:rPr>
        <w:t xml:space="preserve"> -</w:t>
      </w:r>
      <w:r>
        <w:rPr>
          <w:rFonts w:ascii="Times New Roman" w:hAnsi="Times New Roman" w:eastAsia="Times New Roman" w:cs="Times New Roman"/>
          <w:bCs/>
          <w:color w:val="auto"/>
          <w:lang w:bidi="ar-SA"/>
        </w:rPr>
        <w:t xml:space="preserve">право на заключение договора аренды </w:t>
      </w:r>
      <w:r>
        <w:rPr>
          <w:rFonts w:ascii="Times New Roman" w:hAnsi="Times New Roman" w:eastAsia="Times New Roman" w:cs="Times New Roman"/>
          <w:color w:val="auto"/>
          <w:lang w:bidi="ar-SA"/>
        </w:rPr>
        <w:t xml:space="preserve">земельного участка, </w:t>
      </w:r>
      <w:r>
        <w:rPr>
          <w:rFonts w:ascii="Times New Roman" w:hAnsi="Times New Roman" w:eastAsia="Times New Roman" w:cs="Times New Roman"/>
          <w:bCs/>
          <w:color w:val="auto"/>
          <w:lang w:bidi="ar-SA"/>
        </w:rPr>
        <w:t>сроком 20 лет, относящегося к категории земель населенных пунктов, с кадастровым номером 04:08:</w:t>
      </w:r>
      <w:r>
        <w:rPr>
          <w:rFonts w:hint="default" w:ascii="Times New Roman" w:hAnsi="Times New Roman" w:eastAsia="Times New Roman" w:cs="Times New Roman"/>
          <w:bCs/>
          <w:color w:val="auto"/>
          <w:lang w:val="ru-RU" w:bidi="ar-SA"/>
        </w:rPr>
        <w:t>080101:1603</w:t>
      </w:r>
      <w:r>
        <w:rPr>
          <w:rFonts w:ascii="Times New Roman" w:hAnsi="Times New Roman" w:eastAsia="Times New Roman" w:cs="Times New Roman"/>
          <w:bCs/>
          <w:color w:val="auto"/>
          <w:lang w:bidi="ar-SA"/>
        </w:rPr>
        <w:t xml:space="preserve">, площадью </w:t>
      </w:r>
      <w:r>
        <w:rPr>
          <w:rFonts w:hint="default" w:ascii="Times New Roman" w:hAnsi="Times New Roman" w:eastAsia="Times New Roman" w:cs="Times New Roman"/>
          <w:bCs/>
          <w:color w:val="auto"/>
          <w:lang w:val="ru-RU" w:bidi="ar-SA"/>
        </w:rPr>
        <w:t xml:space="preserve">2000 </w:t>
      </w:r>
      <w:r>
        <w:rPr>
          <w:rFonts w:ascii="Times New Roman" w:hAnsi="Times New Roman" w:eastAsia="Times New Roman" w:cs="Times New Roman"/>
          <w:bCs/>
          <w:color w:val="auto"/>
          <w:lang w:bidi="ar-SA"/>
        </w:rPr>
        <w:t xml:space="preserve">кв. м, местоположение: </w:t>
      </w:r>
      <w:r>
        <w:rPr>
          <w:rFonts w:ascii="Times New Roman" w:hAnsi="Times New Roman" w:eastAsia="Times New Roman" w:cs="Times New Roman"/>
          <w:b/>
          <w:color w:val="auto"/>
          <w:lang w:bidi="ar-SA"/>
        </w:rPr>
        <w:t xml:space="preserve">Республика Алтай, Усть-Коксинский район, с. </w:t>
      </w:r>
      <w:r>
        <w:rPr>
          <w:rFonts w:ascii="Times New Roman" w:hAnsi="Times New Roman" w:eastAsia="Times New Roman" w:cs="Times New Roman"/>
          <w:b/>
          <w:color w:val="auto"/>
          <w:lang w:val="ru-RU" w:bidi="ar-SA"/>
        </w:rPr>
        <w:t>Катанда</w:t>
      </w:r>
      <w:r>
        <w:rPr>
          <w:rFonts w:ascii="Times New Roman" w:hAnsi="Times New Roman" w:eastAsia="Times New Roman" w:cs="Times New Roman"/>
          <w:b/>
          <w:color w:val="auto"/>
          <w:lang w:bidi="ar-SA"/>
        </w:rPr>
        <w:t xml:space="preserve">, </w:t>
      </w:r>
      <w:r>
        <w:rPr>
          <w:rFonts w:ascii="Times New Roman" w:hAnsi="Times New Roman" w:eastAsia="Times New Roman" w:cs="Times New Roman"/>
          <w:b/>
          <w:color w:val="auto"/>
          <w:lang w:val="ru-RU" w:bidi="ar-SA"/>
        </w:rPr>
        <w:t>ул</w:t>
      </w:r>
      <w:r>
        <w:rPr>
          <w:rFonts w:hint="default" w:ascii="Times New Roman" w:hAnsi="Times New Roman" w:eastAsia="Times New Roman" w:cs="Times New Roman"/>
          <w:b/>
          <w:color w:val="auto"/>
          <w:lang w:val="ru-RU" w:bidi="ar-SA"/>
        </w:rPr>
        <w:t>.Совхозная, земельный участок 4А</w:t>
      </w:r>
      <w:r>
        <w:rPr>
          <w:rFonts w:ascii="Times New Roman" w:hAnsi="Times New Roman" w:eastAsia="Times New Roman" w:cs="Times New Roman"/>
          <w:bCs/>
          <w:color w:val="auto"/>
          <w:lang w:bidi="ar-SA"/>
        </w:rPr>
        <w:t>, с разрешённым использованием: для индивидуального жилищного строительства.</w:t>
      </w:r>
    </w:p>
    <w:p w14:paraId="3C7593A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eastAsia="en-US" w:bidi="ar-SA"/>
        </w:rPr>
      </w:pPr>
      <w:r>
        <w:rPr>
          <w:rFonts w:ascii="Times New Roman" w:hAnsi="Times New Roman" w:eastAsia="Calibri" w:cs="Times New Roman"/>
          <w:b/>
          <w:bCs/>
          <w:color w:val="auto"/>
          <w:lang w:eastAsia="en-US" w:bidi="ar-SA"/>
        </w:rPr>
        <w:t>Сведения о правах на земельный участок</w:t>
      </w:r>
      <w:r>
        <w:rPr>
          <w:rFonts w:ascii="Times New Roman" w:hAnsi="Times New Roman" w:eastAsia="Calibri" w:cs="Times New Roman"/>
          <w:color w:val="auto"/>
          <w:lang w:eastAsia="en-US" w:bidi="ar-SA"/>
        </w:rPr>
        <w:t>: государственная неразграниченная собственность.</w:t>
      </w:r>
    </w:p>
    <w:p w14:paraId="1EBD6E97">
      <w:pPr>
        <w:numPr>
          <w:ilvl w:val="0"/>
          <w:numId w:val="4"/>
        </w:numPr>
        <w:autoSpaceDE w:val="0"/>
        <w:autoSpaceDN w:val="0"/>
        <w:adjustRightInd w:val="0"/>
        <w:ind w:left="0" w:leftChars="0" w:firstLine="567" w:firstLineChars="0"/>
        <w:jc w:val="both"/>
        <w:rPr>
          <w:rFonts w:hint="default" w:ascii="Times New Roman" w:hAnsi="Times New Roman" w:eastAsia="Calibri" w:cs="Times New Roman"/>
          <w:color w:val="auto"/>
          <w:lang w:val="ru-RU" w:eastAsia="en-US" w:bidi="ar-SA"/>
        </w:rPr>
      </w:pPr>
      <w:r>
        <w:rPr>
          <w:rFonts w:ascii="Times New Roman" w:hAnsi="Times New Roman" w:eastAsia="Calibri" w:cs="Times New Roman"/>
          <w:b/>
          <w:bCs/>
          <w:color w:val="auto"/>
          <w:lang w:eastAsia="en-US" w:bidi="ar-SA"/>
        </w:rPr>
        <w:t>Сведения об ограничениях прав</w:t>
      </w:r>
      <w:r>
        <w:rPr>
          <w:rFonts w:hint="default" w:ascii="Times New Roman" w:hAnsi="Times New Roman" w:eastAsia="Calibri" w:cs="Times New Roman"/>
          <w:b/>
          <w:bCs/>
          <w:color w:val="auto"/>
          <w:lang w:val="ru-RU" w:eastAsia="en-US" w:bidi="ar-SA"/>
        </w:rPr>
        <w:t>: нет</w:t>
      </w:r>
      <w:r>
        <w:rPr>
          <w:rFonts w:hint="default" w:ascii="Times New Roman" w:hAnsi="Times New Roman" w:eastAsia="Calibri" w:cs="Times New Roman"/>
          <w:color w:val="auto"/>
          <w:lang w:val="ru-RU" w:eastAsia="en-US" w:bidi="ar-SA"/>
        </w:rPr>
        <w:t>.</w:t>
      </w:r>
    </w:p>
    <w:p w14:paraId="3801CDC2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bidi="ar-SA"/>
        </w:rPr>
      </w:pPr>
      <w:r>
        <w:rPr>
          <w:rFonts w:ascii="Times New Roman" w:hAnsi="Times New Roman" w:eastAsia="Calibri" w:cs="Times New Roman"/>
          <w:b/>
          <w:color w:val="auto"/>
          <w:lang w:bidi="ar-SA"/>
        </w:rPr>
        <w:t xml:space="preserve">Сведения о максимально и (или) минимально допустимых параметрах разрешенного строительства </w:t>
      </w:r>
      <w:r>
        <w:rPr>
          <w:rFonts w:ascii="Times New Roman" w:hAnsi="Times New Roman" w:eastAsia="Calibri" w:cs="Times New Roman"/>
          <w:bCs/>
          <w:color w:val="auto"/>
          <w:lang w:bidi="ar-SA"/>
        </w:rPr>
        <w:t>объекта капитального строительства</w:t>
      </w:r>
      <w:r>
        <w:rPr>
          <w:rFonts w:ascii="Times New Roman" w:hAnsi="Times New Roman" w:eastAsia="Calibri" w:cs="Times New Roman"/>
          <w:b/>
          <w:color w:val="auto"/>
          <w:lang w:bidi="ar-SA"/>
        </w:rPr>
        <w:t xml:space="preserve"> </w:t>
      </w:r>
      <w:r>
        <w:rPr>
          <w:rFonts w:ascii="Times New Roman" w:hAnsi="Times New Roman" w:eastAsia="Calibri" w:cs="Times New Roman"/>
          <w:color w:val="auto"/>
          <w:lang w:bidi="ar-SA"/>
        </w:rPr>
        <w:t xml:space="preserve">определены Правилами землепользования и застройки </w:t>
      </w:r>
      <w:r>
        <w:rPr>
          <w:rFonts w:ascii="Times New Roman" w:hAnsi="Times New Roman" w:eastAsia="Calibri" w:cs="Times New Roman"/>
          <w:color w:val="auto"/>
          <w:lang w:val="ru-RU" w:bidi="ar-SA"/>
        </w:rPr>
        <w:t>Катандинского</w:t>
      </w:r>
      <w:r>
        <w:rPr>
          <w:rFonts w:hint="default" w:ascii="Times New Roman" w:hAnsi="Times New Roman" w:eastAsia="Calibri" w:cs="Times New Roman"/>
          <w:color w:val="auto"/>
          <w:lang w:val="ru-RU" w:bidi="ar-SA"/>
        </w:rPr>
        <w:t xml:space="preserve"> </w:t>
      </w:r>
      <w:r>
        <w:rPr>
          <w:rFonts w:ascii="Times New Roman" w:hAnsi="Times New Roman" w:eastAsia="Calibri" w:cs="Times New Roman"/>
          <w:color w:val="auto"/>
          <w:lang w:bidi="ar-SA"/>
        </w:rPr>
        <w:t>сельского поселения:</w:t>
      </w:r>
    </w:p>
    <w:p w14:paraId="56CFB523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sz w:val="25"/>
          <w:szCs w:val="25"/>
        </w:rPr>
      </w:pPr>
      <w:r>
        <w:rPr>
          <w:rFonts w:ascii="Times New Roman" w:hAnsi="Times New Roman" w:eastAsia="Calibri" w:cs="Times New Roman"/>
          <w:sz w:val="25"/>
          <w:szCs w:val="25"/>
        </w:rPr>
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30% </w:t>
      </w:r>
    </w:p>
    <w:p w14:paraId="3851F35F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sz w:val="25"/>
          <w:szCs w:val="25"/>
        </w:rPr>
      </w:pPr>
      <w:r>
        <w:rPr>
          <w:rFonts w:ascii="Times New Roman" w:hAnsi="Times New Roman" w:eastAsia="Calibri" w:cs="Times New Roman"/>
          <w:sz w:val="25"/>
          <w:szCs w:val="25"/>
        </w:rPr>
        <w:t xml:space="preserve">- Для существующей застройки параметры разрешенного использования ЗУ и ОКС не устанавливаются. </w:t>
      </w:r>
    </w:p>
    <w:p w14:paraId="327F1C0F">
      <w:pPr>
        <w:ind w:left="0" w:leftChars="0" w:firstLine="477" w:firstLineChars="191"/>
        <w:jc w:val="both"/>
        <w:rPr>
          <w:rFonts w:ascii="Times New Roman" w:hAnsi="Times New Roman" w:eastAsia="Calibri" w:cs="Times New Roman"/>
          <w:sz w:val="25"/>
          <w:szCs w:val="25"/>
        </w:rPr>
      </w:pPr>
      <w:r>
        <w:rPr>
          <w:rFonts w:ascii="Times New Roman" w:hAnsi="Times New Roman" w:eastAsia="Calibri" w:cs="Times New Roman"/>
          <w:sz w:val="25"/>
          <w:szCs w:val="25"/>
        </w:rPr>
        <w:t>- Этажность - до 3 эт.</w:t>
      </w:r>
    </w:p>
    <w:p w14:paraId="7CD7673D">
      <w:pPr>
        <w:ind w:left="0" w:leftChars="0" w:firstLine="477" w:firstLineChars="191"/>
        <w:jc w:val="both"/>
        <w:rPr>
          <w:rFonts w:ascii="Times New Roman" w:hAnsi="Times New Roman" w:eastAsia="Calibri" w:cs="Times New Roman"/>
          <w:sz w:val="25"/>
          <w:szCs w:val="25"/>
        </w:rPr>
      </w:pPr>
      <w:r>
        <w:rPr>
          <w:rFonts w:ascii="Times New Roman" w:hAnsi="Times New Roman" w:eastAsia="Calibri" w:cs="Times New Roman"/>
          <w:sz w:val="25"/>
          <w:szCs w:val="25"/>
        </w:rPr>
        <w:t>- Минимальный отступ от красной линии улиц – 5 м, от проездов – 3 м.</w:t>
      </w:r>
    </w:p>
    <w:p w14:paraId="3B40F113">
      <w:pPr>
        <w:ind w:left="0" w:leftChars="0" w:firstLine="477" w:firstLineChars="191"/>
        <w:jc w:val="both"/>
        <w:rPr>
          <w:rFonts w:ascii="Times New Roman" w:hAnsi="Times New Roman" w:eastAsia="Calibri" w:cs="Times New Roman"/>
          <w:sz w:val="25"/>
          <w:szCs w:val="25"/>
        </w:rPr>
      </w:pPr>
      <w:r>
        <w:rPr>
          <w:rFonts w:ascii="Times New Roman" w:hAnsi="Times New Roman" w:eastAsia="Calibri" w:cs="Times New Roman"/>
          <w:sz w:val="25"/>
          <w:szCs w:val="25"/>
        </w:rPr>
        <w:t>Расстояние от границ соседних участков жилого дома не менее 3м, вспомогательных строений не менее 1м.</w:t>
      </w:r>
    </w:p>
    <w:p w14:paraId="091C0CF7">
      <w:pPr>
        <w:ind w:left="0" w:leftChars="0" w:firstLine="477" w:firstLineChars="191"/>
        <w:jc w:val="both"/>
        <w:rPr>
          <w:rFonts w:ascii="Times New Roman" w:hAnsi="Times New Roman" w:eastAsia="Calibri" w:cs="Times New Roman"/>
          <w:sz w:val="25"/>
          <w:szCs w:val="25"/>
        </w:rPr>
      </w:pPr>
      <w:r>
        <w:rPr>
          <w:rFonts w:ascii="Times New Roman" w:hAnsi="Times New Roman" w:eastAsia="Calibri" w:cs="Times New Roman"/>
          <w:sz w:val="25"/>
          <w:szCs w:val="25"/>
        </w:rPr>
        <w:t>Расстояние от  окон жилых комнат до стен соседнего дома и вспомогательных построек, расположенных на соседнем ЗУ не менее 6м.</w:t>
      </w:r>
    </w:p>
    <w:p w14:paraId="05AB7279">
      <w:pPr>
        <w:ind w:left="0" w:leftChars="0" w:firstLine="477" w:firstLineChars="191"/>
        <w:jc w:val="both"/>
        <w:rPr>
          <w:rFonts w:ascii="Times New Roman" w:hAnsi="Times New Roman" w:eastAsia="Calibri" w:cs="Times New Roman"/>
          <w:sz w:val="25"/>
          <w:szCs w:val="25"/>
        </w:rPr>
      </w:pPr>
      <w:r>
        <w:rPr>
          <w:rFonts w:ascii="Times New Roman" w:hAnsi="Times New Roman" w:eastAsia="Calibri" w:cs="Times New Roman"/>
          <w:sz w:val="25"/>
          <w:szCs w:val="25"/>
        </w:rPr>
        <w:t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"Системы противопожарной защиты. Ограничение распространения пожара</w:t>
      </w:r>
    </w:p>
    <w:p w14:paraId="3A1D4E81">
      <w:pPr>
        <w:ind w:left="0" w:leftChars="0" w:firstLine="477" w:firstLineChars="191"/>
        <w:jc w:val="both"/>
        <w:rPr>
          <w:rFonts w:ascii="Times New Roman" w:hAnsi="Times New Roman" w:eastAsia="Calibri" w:cs="Times New Roman"/>
          <w:sz w:val="25"/>
          <w:szCs w:val="25"/>
        </w:rPr>
      </w:pPr>
      <w:r>
        <w:rPr>
          <w:rFonts w:ascii="Times New Roman" w:hAnsi="Times New Roman" w:eastAsia="Calibri" w:cs="Times New Roman"/>
          <w:sz w:val="25"/>
          <w:szCs w:val="25"/>
        </w:rPr>
        <w:t>на объектах защиты. Требования к объемно-планировочным и конструктивным решениям" и Приложению1Федерального закона от 22 июля 2008 г. N 123-ФЗ "Технический регламент о требованиях пожарной  безопасности."</w:t>
      </w:r>
    </w:p>
    <w:p w14:paraId="06497257">
      <w:pPr>
        <w:ind w:left="0" w:leftChars="0" w:firstLine="477" w:firstLineChars="191"/>
        <w:jc w:val="both"/>
        <w:rPr>
          <w:rFonts w:ascii="Times New Roman" w:hAnsi="Times New Roman" w:eastAsia="Calibri" w:cs="Times New Roman"/>
          <w:sz w:val="25"/>
          <w:szCs w:val="25"/>
        </w:rPr>
      </w:pPr>
      <w:r>
        <w:rPr>
          <w:rFonts w:ascii="Times New Roman" w:hAnsi="Times New Roman" w:eastAsia="Calibri" w:cs="Times New Roman"/>
          <w:sz w:val="25"/>
          <w:szCs w:val="25"/>
        </w:rPr>
        <w:t>Противопожарный разрыв в зависимости от степени огнестойкости ОКС составляет 6-15 м.</w:t>
      </w:r>
    </w:p>
    <w:p w14:paraId="29936609">
      <w:pPr>
        <w:keepNext/>
        <w:keepLines/>
        <w:widowControl/>
        <w:ind w:firstLine="567"/>
        <w:jc w:val="both"/>
        <w:rPr>
          <w:rFonts w:ascii="Times New Roman" w:hAnsi="Times New Roman" w:eastAsia="Times New Roman" w:cs="Times New Roman"/>
          <w:bCs/>
          <w:color w:val="auto"/>
          <w:lang w:bidi="ar-SA"/>
        </w:rPr>
      </w:pPr>
      <w:r>
        <w:rPr>
          <w:rFonts w:ascii="Times New Roman" w:hAnsi="Times New Roman" w:eastAsia="Times New Roman" w:cs="Times New Roman"/>
          <w:b/>
          <w:color w:val="auto"/>
          <w:lang w:bidi="ar-SA"/>
        </w:rPr>
        <w:t>Сведения о технических условиях подключения</w:t>
      </w:r>
      <w:r>
        <w:rPr>
          <w:rFonts w:ascii="Times New Roman" w:hAnsi="Times New Roman" w:eastAsia="Times New Roman" w:cs="Times New Roman"/>
          <w:bCs/>
          <w:color w:val="auto"/>
          <w:lang w:bidi="ar-SA"/>
        </w:rPr>
        <w:t xml:space="preserve"> (технологического присоединения) объекта капитального строительства к сетям инженерно - технического обеспечения: </w:t>
      </w:r>
    </w:p>
    <w:p w14:paraId="44EC1294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bCs/>
          <w:color w:val="auto"/>
          <w:lang w:bidi="ar-SA"/>
        </w:rPr>
        <w:t>В соответствии с информацией МУП «ТепловодСтрой Сервис» и МУП «Теплоресурс»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>
        <w:rPr>
          <w:rFonts w:ascii="Times New Roman" w:hAnsi="Times New Roman" w:eastAsia="Times New Roman" w:cs="Times New Roman"/>
          <w:color w:val="auto"/>
          <w:lang w:bidi="ar-SA"/>
        </w:rPr>
        <w:t xml:space="preserve"> отсутствует. </w:t>
      </w:r>
    </w:p>
    <w:p w14:paraId="2602510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113DC76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eastAsia="en-US" w:bidi="ar-SA"/>
        </w:rPr>
      </w:pPr>
      <w:r>
        <w:rPr>
          <w:rFonts w:ascii="Times New Roman" w:hAnsi="Times New Roman" w:cs="Times New Roman"/>
          <w:b/>
          <w:bCs/>
          <w:color w:val="auto"/>
        </w:rPr>
        <w:t xml:space="preserve">Сведения </w:t>
      </w:r>
      <w:r>
        <w:rPr>
          <w:rFonts w:ascii="Times New Roman" w:hAnsi="Times New Roman" w:cs="Times New Roman" w:eastAsiaTheme="minorHAnsi"/>
          <w:b/>
          <w:bCs/>
          <w:color w:val="auto"/>
          <w:lang w:eastAsia="en-US"/>
        </w:rPr>
        <w:t>о дате размещения извещения</w:t>
      </w:r>
      <w:r>
        <w:rPr>
          <w:rFonts w:ascii="Times New Roman" w:hAnsi="Times New Roman" w:cs="Times New Roman" w:eastAsiaTheme="minorHAnsi"/>
          <w:color w:val="auto"/>
          <w:lang w:eastAsia="en-US"/>
        </w:rPr>
        <w:t xml:space="preserve"> в соответствии с </w:t>
      </w:r>
      <w:r>
        <w:fldChar w:fldCharType="begin"/>
      </w:r>
      <w:r>
        <w:instrText xml:space="preserve"> HYPERLINK "https://login.consultant.ru/link/?req=doc&amp;base=LAW&amp;n=483141&amp;dst=2788" </w:instrText>
      </w:r>
      <w:r>
        <w:fldChar w:fldCharType="separate"/>
      </w:r>
      <w:r>
        <w:rPr>
          <w:rFonts w:ascii="Times New Roman" w:hAnsi="Times New Roman" w:cs="Times New Roman" w:eastAsiaTheme="minorHAnsi"/>
          <w:color w:val="auto"/>
          <w:lang w:eastAsia="en-US"/>
        </w:rPr>
        <w:t>подпунктом 1 пункта 1 статьи 39.18</w:t>
      </w:r>
      <w:r>
        <w:rPr>
          <w:rFonts w:ascii="Times New Roman" w:hAnsi="Times New Roman" w:cs="Times New Roman" w:eastAsiaTheme="minorHAnsi"/>
          <w:color w:val="auto"/>
          <w:lang w:eastAsia="en-US"/>
        </w:rPr>
        <w:fldChar w:fldCharType="end"/>
      </w:r>
      <w:r>
        <w:rPr>
          <w:rFonts w:ascii="Times New Roman" w:hAnsi="Times New Roman" w:cs="Times New Roman" w:eastAsiaTheme="minorHAnsi"/>
          <w:color w:val="auto"/>
          <w:lang w:eastAsia="en-US"/>
        </w:rPr>
        <w:t xml:space="preserve"> настоящего Кодекса: </w:t>
      </w:r>
      <w:r>
        <w:rPr>
          <w:rFonts w:hint="default" w:ascii="Times New Roman" w:hAnsi="Times New Roman" w:cs="Times New Roman" w:eastAsiaTheme="minorHAnsi"/>
          <w:color w:val="auto"/>
          <w:lang w:val="ru-RU" w:eastAsia="en-US"/>
        </w:rPr>
        <w:t>17.05.2024</w:t>
      </w:r>
      <w:r>
        <w:rPr>
          <w:rFonts w:ascii="Times New Roman" w:hAnsi="Times New Roman" w:cs="Times New Roman" w:eastAsiaTheme="minorHAnsi"/>
          <w:color w:val="auto"/>
          <w:lang w:eastAsia="en-US"/>
        </w:rPr>
        <w:t xml:space="preserve"> г.</w:t>
      </w:r>
    </w:p>
    <w:p w14:paraId="3DA6E1CA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eastAsia="Times New Roman" w:cs="Times New Roman"/>
          <w:bCs/>
          <w:color w:val="auto"/>
          <w:lang w:bidi="ar-SA"/>
        </w:rPr>
      </w:pPr>
      <w:r>
        <w:rPr>
          <w:rFonts w:ascii="Times New Roman" w:hAnsi="Times New Roman" w:eastAsia="Calibri" w:cs="Times New Roman"/>
          <w:b/>
          <w:bCs/>
          <w:color w:val="auto"/>
          <w:lang w:eastAsia="en-US" w:bidi="ar-SA"/>
        </w:rPr>
        <w:t>Начальная цена предмета аукциона</w:t>
      </w:r>
      <w:r>
        <w:rPr>
          <w:rFonts w:ascii="Times New Roman" w:hAnsi="Times New Roman" w:eastAsia="Calibri" w:cs="Times New Roman"/>
          <w:color w:val="auto"/>
          <w:lang w:eastAsia="en-US" w:bidi="ar-SA"/>
        </w:rPr>
        <w:t xml:space="preserve"> (размера ежегодной арендной платы): </w:t>
      </w:r>
      <w:r>
        <w:rPr>
          <w:rFonts w:hint="default" w:ascii="Times New Roman" w:hAnsi="Times New Roman" w:eastAsia="Times New Roman" w:cs="Times New Roman"/>
          <w:bCs/>
          <w:color w:val="auto"/>
          <w:lang w:val="ru-RU" w:bidi="ar-SA"/>
        </w:rPr>
        <w:t xml:space="preserve">172000 </w:t>
      </w:r>
      <w:r>
        <w:rPr>
          <w:rFonts w:ascii="Times New Roman" w:hAnsi="Times New Roman" w:eastAsia="Times New Roman" w:cs="Times New Roman"/>
          <w:bCs/>
          <w:color w:val="auto"/>
          <w:lang w:bidi="ar-SA"/>
        </w:rPr>
        <w:t>руб.</w:t>
      </w:r>
    </w:p>
    <w:p w14:paraId="168DA98B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eastAsia="en-US" w:bidi="ar-SA"/>
        </w:rPr>
      </w:pPr>
      <w:r>
        <w:rPr>
          <w:rFonts w:ascii="Times New Roman" w:hAnsi="Times New Roman" w:eastAsia="Calibri" w:cs="Times New Roman"/>
          <w:b/>
          <w:bCs/>
          <w:color w:val="auto"/>
          <w:lang w:eastAsia="en-US" w:bidi="ar-SA"/>
        </w:rPr>
        <w:t>Размер задатка</w:t>
      </w:r>
      <w:r>
        <w:rPr>
          <w:rFonts w:ascii="Times New Roman" w:hAnsi="Times New Roman" w:eastAsia="Calibri" w:cs="Times New Roman"/>
          <w:color w:val="auto"/>
          <w:lang w:eastAsia="en-US" w:bidi="ar-SA"/>
        </w:rPr>
        <w:t xml:space="preserve">: </w:t>
      </w:r>
      <w:r>
        <w:rPr>
          <w:rFonts w:hint="default" w:ascii="Times New Roman" w:hAnsi="Times New Roman" w:eastAsia="Calibri" w:cs="Times New Roman"/>
          <w:color w:val="auto"/>
          <w:lang w:val="ru-RU" w:eastAsia="en-US" w:bidi="ar-SA"/>
        </w:rPr>
        <w:t>85</w:t>
      </w:r>
      <w:r>
        <w:rPr>
          <w:rFonts w:hint="default" w:ascii="Times New Roman" w:hAnsi="Times New Roman" w:eastAsia="Times New Roman" w:cs="Times New Roman"/>
          <w:bCs/>
          <w:color w:val="auto"/>
          <w:lang w:val="ru-RU" w:bidi="ar-SA"/>
        </w:rPr>
        <w:t xml:space="preserve"> 000 </w:t>
      </w:r>
      <w:r>
        <w:rPr>
          <w:rFonts w:ascii="Times New Roman" w:hAnsi="Times New Roman" w:eastAsia="Times New Roman" w:cs="Times New Roman"/>
          <w:bCs/>
          <w:color w:val="auto"/>
          <w:lang w:bidi="ar-SA"/>
        </w:rPr>
        <w:t xml:space="preserve"> </w:t>
      </w:r>
      <w:r>
        <w:rPr>
          <w:rFonts w:ascii="Times New Roman" w:hAnsi="Times New Roman" w:eastAsia="Calibri" w:cs="Times New Roman"/>
          <w:color w:val="auto"/>
          <w:lang w:eastAsia="en-US" w:bidi="ar-SA"/>
        </w:rPr>
        <w:t xml:space="preserve">руб. </w:t>
      </w:r>
    </w:p>
    <w:p w14:paraId="014CA0A6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eastAsia="Calibri" w:cs="Times New Roman"/>
          <w:color w:val="auto"/>
          <w:lang w:eastAsia="en-US" w:bidi="ar-SA"/>
        </w:rPr>
      </w:pPr>
      <w:r>
        <w:rPr>
          <w:rFonts w:ascii="Times New Roman" w:hAnsi="Times New Roman" w:eastAsia="Calibri" w:cs="Times New Roman"/>
          <w:b/>
          <w:bCs/>
          <w:color w:val="auto"/>
          <w:lang w:eastAsia="en-US" w:bidi="ar-SA"/>
        </w:rPr>
        <w:t>Шаг аукциона:</w:t>
      </w:r>
      <w:r>
        <w:rPr>
          <w:rFonts w:ascii="Times New Roman" w:hAnsi="Times New Roman" w:eastAsia="Calibri" w:cs="Times New Roman"/>
          <w:color w:val="auto"/>
          <w:lang w:eastAsia="en-US" w:bidi="ar-SA"/>
        </w:rPr>
        <w:t xml:space="preserve"> </w:t>
      </w:r>
      <w:r>
        <w:rPr>
          <w:rFonts w:hint="default" w:ascii="Times New Roman" w:hAnsi="Times New Roman" w:eastAsia="Calibri" w:cs="Times New Roman"/>
          <w:color w:val="auto"/>
          <w:lang w:val="ru-RU" w:eastAsia="en-US" w:bidi="ar-SA"/>
        </w:rPr>
        <w:t>8600</w:t>
      </w:r>
      <w:r>
        <w:rPr>
          <w:rFonts w:ascii="Times New Roman" w:hAnsi="Times New Roman" w:eastAsia="Calibri" w:cs="Times New Roman"/>
          <w:color w:val="auto"/>
          <w:lang w:eastAsia="en-US" w:bidi="ar-SA"/>
        </w:rPr>
        <w:t xml:space="preserve"> руб. </w:t>
      </w:r>
    </w:p>
    <w:p w14:paraId="7431D8B0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eastAsia="Times New Roman" w:cs="Times New Roman"/>
          <w:bCs/>
          <w:color w:val="auto"/>
          <w:lang w:bidi="ar-SA"/>
        </w:rPr>
      </w:pPr>
    </w:p>
    <w:bookmarkEnd w:id="2"/>
    <w:p w14:paraId="3CC391AA">
      <w:pPr>
        <w:pStyle w:val="10"/>
        <w:shd w:val="clear" w:color="auto" w:fill="auto"/>
        <w:tabs>
          <w:tab w:val="left" w:pos="1191"/>
        </w:tabs>
        <w:spacing w:after="0" w:line="274" w:lineRule="exact"/>
        <w:ind w:firstLine="567"/>
        <w:jc w:val="both"/>
        <w:rPr>
          <w:color w:val="auto"/>
        </w:rPr>
      </w:pPr>
    </w:p>
    <w:p w14:paraId="5A97A15D">
      <w:pPr>
        <w:pStyle w:val="10"/>
        <w:shd w:val="clear" w:color="auto" w:fill="auto"/>
        <w:tabs>
          <w:tab w:val="left" w:pos="284"/>
        </w:tabs>
        <w:spacing w:after="0" w:line="274" w:lineRule="exact"/>
        <w:ind w:firstLine="0"/>
        <w:jc w:val="center"/>
        <w:rPr>
          <w:b/>
          <w:color w:val="auto"/>
        </w:rPr>
      </w:pPr>
      <w:r>
        <w:rPr>
          <w:b/>
          <w:color w:val="auto"/>
        </w:rPr>
        <w:t xml:space="preserve">5. Сроки, время подачи заявок и проведения аукциона, </w:t>
      </w:r>
    </w:p>
    <w:p w14:paraId="1259BED5">
      <w:pPr>
        <w:pStyle w:val="10"/>
        <w:shd w:val="clear" w:color="auto" w:fill="auto"/>
        <w:tabs>
          <w:tab w:val="left" w:pos="284"/>
        </w:tabs>
        <w:spacing w:after="0" w:line="274" w:lineRule="exact"/>
        <w:ind w:firstLine="0"/>
        <w:jc w:val="center"/>
        <w:rPr>
          <w:b/>
          <w:color w:val="auto"/>
        </w:rPr>
      </w:pPr>
      <w:r>
        <w:rPr>
          <w:b/>
          <w:color w:val="auto"/>
        </w:rPr>
        <w:t>требования к участникам аукциона</w:t>
      </w:r>
    </w:p>
    <w:p w14:paraId="5F3BDE99">
      <w:pPr>
        <w:pStyle w:val="10"/>
        <w:shd w:val="clear" w:color="auto" w:fill="auto"/>
        <w:tabs>
          <w:tab w:val="left" w:pos="1191"/>
        </w:tabs>
        <w:spacing w:after="0" w:line="274" w:lineRule="exact"/>
        <w:ind w:firstLine="0"/>
        <w:jc w:val="left"/>
        <w:rPr>
          <w:b/>
          <w:color w:val="auto"/>
        </w:rPr>
      </w:pPr>
    </w:p>
    <w:p w14:paraId="5D9FA4C9">
      <w:pPr>
        <w:pStyle w:val="1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5.1.</w:t>
      </w:r>
      <w:r>
        <w:rPr>
          <w:color w:val="auto"/>
        </w:rPr>
        <w:t xml:space="preserve"> Указанное в настоящей документации об аукционе </w:t>
      </w:r>
      <w:r>
        <w:rPr>
          <w:b/>
          <w:color w:val="auto"/>
        </w:rPr>
        <w:t>время –</w:t>
      </w:r>
      <w:r>
        <w:rPr>
          <w:color w:val="auto"/>
        </w:rPr>
        <w:t xml:space="preserve"> </w:t>
      </w:r>
      <w:r>
        <w:rPr>
          <w:b/>
          <w:color w:val="auto"/>
        </w:rPr>
        <w:t>местное.</w:t>
      </w:r>
    </w:p>
    <w:p w14:paraId="01F681EC">
      <w:pPr>
        <w:pStyle w:val="1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bCs/>
          <w:color w:val="auto"/>
        </w:rPr>
      </w:pPr>
      <w:r>
        <w:rPr>
          <w:b/>
          <w:color w:val="auto"/>
        </w:rPr>
        <w:t>5.2.</w:t>
      </w:r>
      <w:r>
        <w:rPr>
          <w:color w:val="auto"/>
        </w:rPr>
        <w:t xml:space="preserve"> Место приёма заявок и документации - электронная площадка ООО «РТС- тендер» </w:t>
      </w:r>
      <w:r>
        <w:rPr>
          <w:bCs/>
          <w:color w:val="auto"/>
        </w:rPr>
        <w:t>(работает по московскому времени).</w:t>
      </w:r>
      <w:bookmarkStart w:id="4" w:name="bookmark4"/>
    </w:p>
    <w:p w14:paraId="53DCAFE3">
      <w:pPr>
        <w:pStyle w:val="1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b/>
          <w:color w:val="auto"/>
        </w:rPr>
      </w:pPr>
      <w:r>
        <w:rPr>
          <w:b/>
          <w:color w:val="auto"/>
        </w:rPr>
        <w:t>Дата, время и место проведения аукциона</w:t>
      </w:r>
      <w:r>
        <w:rPr>
          <w:color w:val="auto"/>
        </w:rPr>
        <w:t xml:space="preserve">: </w:t>
      </w:r>
      <w:r>
        <w:rPr>
          <w:rFonts w:hint="default"/>
          <w:b/>
          <w:color w:val="auto"/>
          <w:shd w:val="clear" w:color="auto" w:fill="DBE5F1" w:themeFill="accent1" w:themeFillTint="33"/>
          <w:lang w:val="ru-RU"/>
        </w:rPr>
        <w:t>18.08.</w:t>
      </w:r>
      <w:r>
        <w:rPr>
          <w:b/>
          <w:color w:val="auto"/>
          <w:shd w:val="clear" w:color="auto" w:fill="DBE5F1" w:themeFill="accent1" w:themeFillTint="33"/>
        </w:rPr>
        <w:t>2025 в 14:00</w:t>
      </w:r>
      <w:r>
        <w:rPr>
          <w:b/>
          <w:color w:val="auto"/>
        </w:rPr>
        <w:t xml:space="preserve"> </w:t>
      </w:r>
      <w:r>
        <w:rPr>
          <w:color w:val="auto"/>
        </w:rPr>
        <w:t xml:space="preserve">(время местное), место - ООО «РТС-тендер», </w:t>
      </w:r>
      <w:r>
        <w:fldChar w:fldCharType="begin"/>
      </w:r>
      <w:r>
        <w:instrText xml:space="preserve"> HYPERLINK "https://www.rts-tender.ru/" </w:instrText>
      </w:r>
      <w:r>
        <w:fldChar w:fldCharType="separate"/>
      </w:r>
      <w:r>
        <w:rPr>
          <w:rStyle w:val="6"/>
          <w:color w:val="auto"/>
        </w:rPr>
        <w:t>https://www.rts-tender.ru</w:t>
      </w:r>
      <w:r>
        <w:rPr>
          <w:rStyle w:val="6"/>
          <w:color w:val="auto"/>
          <w:lang w:eastAsia="en-US" w:bidi="en-US"/>
        </w:rPr>
        <w:t>.</w:t>
      </w:r>
      <w:r>
        <w:rPr>
          <w:rStyle w:val="6"/>
          <w:color w:val="auto"/>
          <w:lang w:eastAsia="en-US" w:bidi="en-US"/>
        </w:rPr>
        <w:fldChar w:fldCharType="end"/>
      </w:r>
      <w:r>
        <w:rPr>
          <w:color w:val="auto"/>
          <w:lang w:eastAsia="en-US" w:bidi="en-US"/>
        </w:rPr>
        <w:t xml:space="preserve"> </w:t>
      </w:r>
      <w:bookmarkStart w:id="5" w:name="bookmark10"/>
      <w:r>
        <w:rPr>
          <w:b/>
          <w:color w:val="auto"/>
        </w:rPr>
        <w:t>(работает по московскому времени).</w:t>
      </w:r>
      <w:bookmarkEnd w:id="5"/>
    </w:p>
    <w:p w14:paraId="7589D10B">
      <w:pPr>
        <w:pStyle w:val="1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rStyle w:val="6"/>
          <w:color w:val="auto"/>
          <w:lang w:eastAsia="en-US" w:bidi="en-US"/>
        </w:rPr>
      </w:pPr>
      <w:r>
        <w:rPr>
          <w:b/>
          <w:color w:val="auto"/>
        </w:rPr>
        <w:t>Место приема заявок:</w:t>
      </w:r>
      <w:bookmarkEnd w:id="4"/>
      <w:r>
        <w:rPr>
          <w:color w:val="auto"/>
        </w:rPr>
        <w:t xml:space="preserve"> ООО «РТС-тендер»,</w:t>
      </w:r>
      <w:r>
        <w:fldChar w:fldCharType="begin"/>
      </w:r>
      <w:r>
        <w:instrText xml:space="preserve"> HYPERLINK "https://www.rts-tender.ru/" </w:instrText>
      </w:r>
      <w:r>
        <w:fldChar w:fldCharType="separate"/>
      </w:r>
      <w:r>
        <w:rPr>
          <w:rStyle w:val="6"/>
          <w:color w:val="auto"/>
        </w:rPr>
        <w:t xml:space="preserve"> https://www.rts-tender.ru</w:t>
      </w:r>
      <w:r>
        <w:rPr>
          <w:rStyle w:val="6"/>
          <w:color w:val="auto"/>
          <w:lang w:eastAsia="en-US" w:bidi="en-US"/>
        </w:rPr>
        <w:t>.</w:t>
      </w:r>
      <w:r>
        <w:rPr>
          <w:rStyle w:val="6"/>
          <w:color w:val="auto"/>
          <w:lang w:eastAsia="en-US" w:bidi="en-US"/>
        </w:rPr>
        <w:fldChar w:fldCharType="end"/>
      </w:r>
      <w:bookmarkStart w:id="6" w:name="bookmark5"/>
    </w:p>
    <w:p w14:paraId="3E7102C6">
      <w:pPr>
        <w:pStyle w:val="1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Дата и время начала подачи заявок на участие в аукционе:</w:t>
      </w:r>
      <w:bookmarkEnd w:id="6"/>
      <w:r>
        <w:rPr>
          <w:b/>
          <w:color w:val="auto"/>
        </w:rPr>
        <w:t xml:space="preserve"> </w:t>
      </w:r>
      <w:r>
        <w:rPr>
          <w:rFonts w:hint="default"/>
          <w:b/>
          <w:color w:val="auto"/>
          <w:shd w:val="clear" w:color="auto" w:fill="DBE5F1" w:themeFill="accent1" w:themeFillTint="33"/>
          <w:lang w:val="ru-RU"/>
        </w:rPr>
        <w:t>04.08.</w:t>
      </w:r>
      <w:r>
        <w:rPr>
          <w:b/>
          <w:color w:val="auto"/>
          <w:shd w:val="clear" w:color="auto" w:fill="DBE5F1" w:themeFill="accent1" w:themeFillTint="33"/>
        </w:rPr>
        <w:t xml:space="preserve">2025 г. </w:t>
      </w:r>
      <w:r>
        <w:rPr>
          <w:rFonts w:hint="default"/>
          <w:b/>
          <w:color w:val="auto"/>
          <w:shd w:val="clear" w:color="auto" w:fill="DBE5F1" w:themeFill="accent1" w:themeFillTint="33"/>
          <w:lang w:val="ru-RU"/>
        </w:rPr>
        <w:t>09</w:t>
      </w:r>
      <w:r>
        <w:rPr>
          <w:b/>
          <w:color w:val="auto"/>
          <w:shd w:val="clear" w:color="auto" w:fill="DBE5F1" w:themeFill="accent1" w:themeFillTint="33"/>
        </w:rPr>
        <w:t>:00</w:t>
      </w:r>
      <w:r>
        <w:rPr>
          <w:color w:val="auto"/>
          <w:shd w:val="clear" w:color="auto" w:fill="DBE5F1" w:themeFill="accent1" w:themeFillTint="33"/>
        </w:rPr>
        <w:t>.</w:t>
      </w:r>
      <w:r>
        <w:rPr>
          <w:color w:val="auto"/>
        </w:rPr>
        <w:t xml:space="preserve"> (время – местное);</w:t>
      </w:r>
      <w:bookmarkStart w:id="7" w:name="bookmark6"/>
    </w:p>
    <w:p w14:paraId="55406219">
      <w:pPr>
        <w:pStyle w:val="1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Дата и время окончания подачи заявок на участие в аукционе:</w:t>
      </w:r>
      <w:bookmarkEnd w:id="7"/>
      <w:r>
        <w:rPr>
          <w:b/>
          <w:color w:val="auto"/>
        </w:rPr>
        <w:t xml:space="preserve"> </w:t>
      </w:r>
      <w:r>
        <w:rPr>
          <w:rFonts w:hint="default"/>
          <w:b/>
          <w:color w:val="auto"/>
          <w:shd w:val="clear" w:color="auto" w:fill="DBE5F1" w:themeFill="accent1" w:themeFillTint="33"/>
          <w:lang w:val="ru-RU"/>
        </w:rPr>
        <w:t>14.08.2025</w:t>
      </w:r>
      <w:r>
        <w:rPr>
          <w:b/>
          <w:color w:val="auto"/>
          <w:shd w:val="clear" w:color="auto" w:fill="DBE5F1" w:themeFill="accent1" w:themeFillTint="33"/>
        </w:rPr>
        <w:t xml:space="preserve"> 17:00</w:t>
      </w:r>
      <w:r>
        <w:rPr>
          <w:b/>
          <w:color w:val="auto"/>
        </w:rPr>
        <w:t xml:space="preserve"> мин</w:t>
      </w:r>
      <w:r>
        <w:rPr>
          <w:color w:val="auto"/>
        </w:rPr>
        <w:t>. (время местное).</w:t>
      </w:r>
      <w:bookmarkStart w:id="8" w:name="bookmark7"/>
    </w:p>
    <w:p w14:paraId="2CE74278">
      <w:pPr>
        <w:pStyle w:val="1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Дата рассмотрения заявок на участие в аукционе:</w:t>
      </w:r>
      <w:bookmarkEnd w:id="8"/>
      <w:r>
        <w:rPr>
          <w:b/>
          <w:color w:val="auto"/>
        </w:rPr>
        <w:t xml:space="preserve"> </w:t>
      </w:r>
      <w:r>
        <w:rPr>
          <w:rFonts w:hint="default"/>
          <w:b/>
          <w:color w:val="auto"/>
          <w:shd w:val="clear" w:color="auto" w:fill="DBE5F1" w:themeFill="accent1" w:themeFillTint="33"/>
          <w:lang w:val="ru-RU"/>
        </w:rPr>
        <w:t>15.08.2025</w:t>
      </w:r>
      <w:r>
        <w:rPr>
          <w:color w:val="auto"/>
        </w:rPr>
        <w:t xml:space="preserve"> (время местное).</w:t>
      </w:r>
      <w:bookmarkStart w:id="9" w:name="bookmark9"/>
    </w:p>
    <w:bookmarkEnd w:id="9"/>
    <w:p w14:paraId="62916511">
      <w:pPr>
        <w:pStyle w:val="10"/>
        <w:numPr>
          <w:ilvl w:val="1"/>
          <w:numId w:val="5"/>
        </w:numPr>
        <w:shd w:val="clear" w:color="auto" w:fill="auto"/>
        <w:tabs>
          <w:tab w:val="left" w:pos="567"/>
          <w:tab w:val="left" w:pos="993"/>
        </w:tabs>
        <w:spacing w:after="0" w:line="274" w:lineRule="exact"/>
        <w:ind w:left="0" w:firstLine="567"/>
        <w:jc w:val="both"/>
        <w:rPr>
          <w:rFonts w:eastAsiaTheme="minorHAnsi"/>
          <w:color w:val="auto"/>
          <w:lang w:eastAsia="en-US"/>
        </w:rPr>
      </w:pPr>
      <w:r>
        <w:rPr>
          <w:rFonts w:eastAsia="Calibri"/>
          <w:b/>
          <w:color w:val="auto"/>
          <w:lang w:eastAsia="en-US"/>
        </w:rPr>
        <w:t xml:space="preserve">Требования к участникам аукциона: </w:t>
      </w:r>
      <w:bookmarkStart w:id="15" w:name="_GoBack"/>
      <w:r>
        <w:rPr>
          <w:rFonts w:eastAsia="Calibri"/>
          <w:bCs/>
          <w:color w:val="auto"/>
          <w:lang w:eastAsia="en-US"/>
        </w:rPr>
        <w:t>В</w:t>
      </w:r>
      <w:r>
        <w:rPr>
          <w:color w:val="auto"/>
        </w:rPr>
        <w:t xml:space="preserve"> силу п. 10 ст. 39.11 Земельного кодекса Российской Федерации, у</w:t>
      </w:r>
      <w:r>
        <w:rPr>
          <w:rFonts w:eastAsiaTheme="minorHAnsi"/>
          <w:color w:val="auto"/>
          <w:lang w:eastAsia="en-US"/>
        </w:rPr>
        <w:t>частниками аукциона могут являться только граждане.</w:t>
      </w:r>
    </w:p>
    <w:bookmarkEnd w:id="15"/>
    <w:p w14:paraId="66B6213F">
      <w:pPr>
        <w:pStyle w:val="10"/>
        <w:numPr>
          <w:numId w:val="0"/>
        </w:numPr>
        <w:shd w:val="clear" w:color="auto" w:fill="auto"/>
        <w:tabs>
          <w:tab w:val="left" w:pos="567"/>
          <w:tab w:val="left" w:pos="993"/>
        </w:tabs>
        <w:spacing w:after="0" w:line="274" w:lineRule="exact"/>
        <w:ind w:left="567" w:leftChars="0"/>
        <w:jc w:val="both"/>
        <w:rPr>
          <w:rFonts w:eastAsiaTheme="minorHAnsi"/>
          <w:color w:val="auto"/>
          <w:lang w:eastAsia="en-US"/>
        </w:rPr>
      </w:pPr>
    </w:p>
    <w:p w14:paraId="213CF164">
      <w:pPr>
        <w:pStyle w:val="10"/>
        <w:shd w:val="clear" w:color="auto" w:fill="auto"/>
        <w:tabs>
          <w:tab w:val="left" w:pos="567"/>
          <w:tab w:val="left" w:pos="2770"/>
          <w:tab w:val="left" w:pos="3686"/>
          <w:tab w:val="left" w:pos="3969"/>
        </w:tabs>
        <w:spacing w:after="0" w:line="274" w:lineRule="exact"/>
        <w:ind w:firstLine="0"/>
        <w:jc w:val="center"/>
        <w:rPr>
          <w:b/>
          <w:color w:val="auto"/>
        </w:rPr>
      </w:pPr>
      <w:r>
        <w:rPr>
          <w:b/>
          <w:color w:val="auto"/>
        </w:rPr>
        <w:t>6. Условия допуска к участию в аукционе</w:t>
      </w:r>
    </w:p>
    <w:p w14:paraId="3D3589CC">
      <w:pPr>
        <w:pStyle w:val="10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rStyle w:val="13"/>
          <w:color w:val="auto"/>
          <w:u w:val="none"/>
        </w:rPr>
      </w:pPr>
      <w:r>
        <w:rPr>
          <w:rStyle w:val="13"/>
          <w:color w:val="auto"/>
          <w:u w:val="none"/>
        </w:rPr>
        <w:t xml:space="preserve">  </w:t>
      </w:r>
      <w:r>
        <w:rPr>
          <w:rStyle w:val="13"/>
          <w:color w:val="auto"/>
          <w:u w:val="none"/>
        </w:rPr>
        <w:tab/>
      </w:r>
    </w:p>
    <w:p w14:paraId="43B9CB58">
      <w:pPr>
        <w:pStyle w:val="1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>
        <w:rPr>
          <w:rStyle w:val="13"/>
          <w:b/>
          <w:color w:val="auto"/>
          <w:u w:val="none"/>
        </w:rPr>
        <w:t xml:space="preserve">6.1. </w:t>
      </w:r>
      <w:r>
        <w:rPr>
          <w:rStyle w:val="13"/>
          <w:color w:val="auto"/>
          <w:u w:val="none"/>
        </w:rPr>
        <w:t xml:space="preserve">Заявитель </w:t>
      </w:r>
      <w:r>
        <w:rPr>
          <w:rStyle w:val="13"/>
          <w:b/>
          <w:bCs/>
          <w:color w:val="auto"/>
          <w:u w:val="none"/>
        </w:rPr>
        <w:t>не допускается</w:t>
      </w:r>
      <w:r>
        <w:rPr>
          <w:rStyle w:val="13"/>
          <w:color w:val="auto"/>
          <w:u w:val="none"/>
        </w:rPr>
        <w:t xml:space="preserve"> к участию в аукционе по следующим основаниям:</w:t>
      </w:r>
    </w:p>
    <w:p w14:paraId="3AD111D7">
      <w:pPr>
        <w:pStyle w:val="1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непредставление необходимых для участия в аукционе документов или представление недостоверных сведений;</w:t>
      </w:r>
    </w:p>
    <w:p w14:paraId="2146AA72">
      <w:pPr>
        <w:pStyle w:val="10"/>
        <w:numPr>
          <w:ilvl w:val="0"/>
          <w:numId w:val="6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непоступление задатка на дату рассмотрения заявок на участие в аукционе;</w:t>
      </w:r>
    </w:p>
    <w:p w14:paraId="23F6C0F0">
      <w:pPr>
        <w:pStyle w:val="1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подача заявки на участие в аукционе лицом, которое в соответствии с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0E54D1A8">
      <w:pPr>
        <w:pStyle w:val="1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3A3997F5">
      <w:pPr>
        <w:pStyle w:val="10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color w:val="auto"/>
        </w:rPr>
      </w:pPr>
      <w:r>
        <w:rPr>
          <w:color w:val="auto"/>
        </w:rPr>
        <w:tab/>
      </w:r>
      <w:r>
        <w:rPr>
          <w:b/>
          <w:color w:val="auto"/>
        </w:rPr>
        <w:t>6.2.</w:t>
      </w:r>
      <w:r>
        <w:rPr>
          <w:color w:val="auto"/>
        </w:rPr>
        <w:t xml:space="preserve"> Перечень указанных оснований отказа Заявителю в участии в аукционе в электронной форме является исчерпывающим.</w:t>
      </w:r>
    </w:p>
    <w:p w14:paraId="7B4D114D">
      <w:pPr>
        <w:pStyle w:val="10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0"/>
        <w:jc w:val="both"/>
        <w:rPr>
          <w:color w:val="auto"/>
        </w:rPr>
      </w:pPr>
      <w:r>
        <w:rPr>
          <w:color w:val="auto"/>
        </w:rPr>
        <w:t xml:space="preserve">         </w:t>
      </w:r>
      <w:r>
        <w:rPr>
          <w:b/>
          <w:color w:val="auto"/>
        </w:rPr>
        <w:t>6.3.</w:t>
      </w:r>
      <w:r>
        <w:rPr>
          <w:color w:val="auto"/>
        </w:rPr>
        <w:t xml:space="preserve"> В случае установления факта недостоверности сведений, содержащихся в документах, представленных Заявителями или участниками аукциона, такие Заявители или участники отстраняются Организатором торгов от участия в аукционе в электронной форме на любом этапе проведения аукциона. Решение Организатора торгов оформляется отдельным протоколом, в котором указываются выявленные нарушения. Протокол размещается на официальном сайте не позднее дня, следующего за днем принятия решения.</w:t>
      </w:r>
    </w:p>
    <w:p w14:paraId="37E727E6">
      <w:pPr>
        <w:pStyle w:val="10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0"/>
        <w:jc w:val="both"/>
        <w:rPr>
          <w:color w:val="auto"/>
        </w:rPr>
      </w:pPr>
    </w:p>
    <w:p w14:paraId="43988464">
      <w:pPr>
        <w:pStyle w:val="1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0"/>
        <w:jc w:val="center"/>
        <w:rPr>
          <w:b/>
          <w:color w:val="auto"/>
        </w:rPr>
      </w:pPr>
      <w:r>
        <w:rPr>
          <w:b/>
          <w:color w:val="auto"/>
        </w:rPr>
        <w:t>7. Порядок регистрации на электронной торговой площадке</w:t>
      </w:r>
    </w:p>
    <w:p w14:paraId="12141A86">
      <w:pPr>
        <w:pStyle w:val="1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0"/>
        <w:jc w:val="center"/>
        <w:rPr>
          <w:b/>
          <w:color w:val="auto"/>
        </w:rPr>
      </w:pPr>
    </w:p>
    <w:p w14:paraId="27BC4775">
      <w:pPr>
        <w:pStyle w:val="10"/>
        <w:shd w:val="clear" w:color="auto" w:fill="auto"/>
        <w:tabs>
          <w:tab w:val="left" w:pos="567"/>
          <w:tab w:val="left" w:pos="1223"/>
        </w:tabs>
        <w:spacing w:after="0" w:line="274" w:lineRule="exact"/>
        <w:ind w:firstLine="0"/>
        <w:jc w:val="both"/>
        <w:rPr>
          <w:rStyle w:val="6"/>
          <w:color w:val="auto"/>
          <w:lang w:eastAsia="en-US" w:bidi="en-US"/>
        </w:rPr>
      </w:pPr>
      <w:r>
        <w:rPr>
          <w:b/>
          <w:color w:val="auto"/>
        </w:rPr>
        <w:t xml:space="preserve">         7.1.</w:t>
      </w:r>
      <w:r>
        <w:rPr>
          <w:color w:val="auto"/>
        </w:rPr>
        <w:t xml:space="preserve"> Для обеспечения доступа к участию в аукционе в электронной форме Заявителям необходимо пройти процедуру регистрации на электронной площадке ООО «РТС-тендер»</w:t>
      </w:r>
      <w:r>
        <w:fldChar w:fldCharType="begin"/>
      </w:r>
      <w:r>
        <w:instrText xml:space="preserve"> HYPERLINK "https://www.rts-tender.ru/" </w:instrText>
      </w:r>
      <w:r>
        <w:fldChar w:fldCharType="separate"/>
      </w:r>
      <w:r>
        <w:rPr>
          <w:rStyle w:val="6"/>
          <w:color w:val="auto"/>
        </w:rPr>
        <w:t xml:space="preserve"> https://www.rts-tender.ru</w:t>
      </w:r>
      <w:r>
        <w:rPr>
          <w:rStyle w:val="6"/>
          <w:color w:val="auto"/>
          <w:lang w:eastAsia="en-US" w:bidi="en-US"/>
        </w:rPr>
        <w:t xml:space="preserve"> </w:t>
      </w:r>
      <w:r>
        <w:rPr>
          <w:rStyle w:val="6"/>
          <w:color w:val="auto"/>
          <w:lang w:eastAsia="en-US" w:bidi="en-US"/>
        </w:rPr>
        <w:fldChar w:fldCharType="end"/>
      </w:r>
      <w:r>
        <w:rPr>
          <w:color w:val="auto"/>
        </w:rPr>
        <w:t>в соответствии с Регламентом электронной площадки ООО «РТС-тендер»</w:t>
      </w:r>
      <w:r>
        <w:fldChar w:fldCharType="begin"/>
      </w:r>
      <w:r>
        <w:instrText xml:space="preserve"> HYPERLINK "https://www.rts-tender.ru/" </w:instrText>
      </w:r>
      <w:r>
        <w:fldChar w:fldCharType="separate"/>
      </w:r>
      <w:r>
        <w:rPr>
          <w:rStyle w:val="6"/>
          <w:color w:val="auto"/>
        </w:rPr>
        <w:t xml:space="preserve"> https://www.rts-tender.ru</w:t>
      </w:r>
      <w:r>
        <w:rPr>
          <w:rStyle w:val="6"/>
          <w:color w:val="auto"/>
          <w:lang w:eastAsia="en-US" w:bidi="en-US"/>
        </w:rPr>
        <w:t>.</w:t>
      </w:r>
      <w:r>
        <w:rPr>
          <w:rStyle w:val="6"/>
          <w:color w:val="auto"/>
          <w:lang w:eastAsia="en-US" w:bidi="en-US"/>
        </w:rPr>
        <w:fldChar w:fldCharType="end"/>
      </w:r>
    </w:p>
    <w:p w14:paraId="31998DCA">
      <w:pPr>
        <w:pStyle w:val="10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color w:val="auto"/>
        </w:rPr>
      </w:pPr>
    </w:p>
    <w:p w14:paraId="03457684">
      <w:pPr>
        <w:pStyle w:val="10"/>
        <w:shd w:val="clear" w:color="auto" w:fill="auto"/>
        <w:tabs>
          <w:tab w:val="left" w:pos="2360"/>
        </w:tabs>
        <w:spacing w:after="0" w:line="274" w:lineRule="exact"/>
        <w:ind w:firstLine="0"/>
        <w:jc w:val="center"/>
        <w:rPr>
          <w:b/>
          <w:color w:val="auto"/>
        </w:rPr>
      </w:pPr>
      <w:r>
        <w:rPr>
          <w:b/>
          <w:color w:val="auto"/>
        </w:rPr>
        <w:t>8. Порядок подачи заявок на участие в аукционе</w:t>
      </w:r>
    </w:p>
    <w:p w14:paraId="2E1E2A5F">
      <w:pPr>
        <w:pStyle w:val="10"/>
        <w:shd w:val="clear" w:color="auto" w:fill="auto"/>
        <w:tabs>
          <w:tab w:val="left" w:pos="2360"/>
        </w:tabs>
        <w:spacing w:after="0" w:line="274" w:lineRule="exact"/>
        <w:ind w:firstLine="0"/>
        <w:jc w:val="center"/>
        <w:rPr>
          <w:b/>
          <w:color w:val="auto"/>
        </w:rPr>
      </w:pPr>
    </w:p>
    <w:p w14:paraId="01C9953B">
      <w:pPr>
        <w:pStyle w:val="40"/>
        <w:numPr>
          <w:ilvl w:val="0"/>
          <w:numId w:val="7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hAnsi="Times New Roman" w:eastAsia="Times New Roman" w:cs="Times New Roman"/>
          <w:vanish/>
          <w:color w:val="auto"/>
        </w:rPr>
      </w:pPr>
    </w:p>
    <w:p w14:paraId="169D8540">
      <w:pPr>
        <w:pStyle w:val="10"/>
        <w:shd w:val="clear" w:color="auto" w:fill="auto"/>
        <w:tabs>
          <w:tab w:val="left" w:pos="426"/>
        </w:tabs>
        <w:spacing w:after="0" w:line="274" w:lineRule="exact"/>
        <w:ind w:firstLine="0"/>
        <w:jc w:val="both"/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 xml:space="preserve">  </w:t>
      </w:r>
      <w:r>
        <w:rPr>
          <w:b/>
          <w:color w:val="auto"/>
        </w:rPr>
        <w:t>8.1.</w:t>
      </w:r>
      <w:r>
        <w:rPr>
          <w:color w:val="auto"/>
        </w:rPr>
        <w:t xml:space="preserve"> Заявка на участие в аукционе подается путем заполнения ее электронной формы с приложением электронных образов необходимых документов, установленных аукционной документацией, на электронной площадке ООО «РТС-тендер»</w:t>
      </w:r>
      <w:r>
        <w:fldChar w:fldCharType="begin"/>
      </w:r>
      <w:r>
        <w:instrText xml:space="preserve"> HYPERLINK "https://www.rts-tender.ru/" </w:instrText>
      </w:r>
      <w:r>
        <w:fldChar w:fldCharType="separate"/>
      </w:r>
      <w:r>
        <w:rPr>
          <w:rStyle w:val="6"/>
          <w:color w:val="auto"/>
        </w:rPr>
        <w:t xml:space="preserve"> https://www.rts-</w:t>
      </w:r>
      <w:r>
        <w:rPr>
          <w:rStyle w:val="6"/>
          <w:color w:val="auto"/>
        </w:rPr>
        <w:fldChar w:fldCharType="end"/>
      </w:r>
      <w:r>
        <w:rPr>
          <w:rStyle w:val="14"/>
          <w:color w:val="auto"/>
          <w:lang w:val="ru-RU"/>
        </w:rPr>
        <w:t xml:space="preserve"> </w:t>
      </w:r>
      <w:r>
        <w:fldChar w:fldCharType="begin"/>
      </w:r>
      <w:r>
        <w:instrText xml:space="preserve"> HYPERLINK "https://www.rts-tender.ru/" </w:instrText>
      </w:r>
      <w:r>
        <w:fldChar w:fldCharType="separate"/>
      </w:r>
      <w:r>
        <w:rPr>
          <w:rStyle w:val="6"/>
          <w:color w:val="auto"/>
        </w:rPr>
        <w:t>tender.ru.</w:t>
      </w:r>
      <w:r>
        <w:rPr>
          <w:rStyle w:val="6"/>
          <w:color w:val="auto"/>
        </w:rPr>
        <w:fldChar w:fldCharType="end"/>
      </w:r>
    </w:p>
    <w:p w14:paraId="03EF9A59">
      <w:pPr>
        <w:pStyle w:val="1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Подача заявки на участие в аукционе является акцептом оферты в соответствии со ст. 438 Гражданского кодекса РФ.</w:t>
      </w:r>
    </w:p>
    <w:p w14:paraId="2C76EA55">
      <w:pPr>
        <w:pStyle w:val="1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Одно лицо имеет право подать только одну заявку на один лот.</w:t>
      </w:r>
    </w:p>
    <w:p w14:paraId="7322217B">
      <w:pPr>
        <w:pStyle w:val="1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Заявка подается на электронную площадку ООО «РТС-тендер»</w:t>
      </w:r>
      <w:r>
        <w:fldChar w:fldCharType="begin"/>
      </w:r>
      <w:r>
        <w:instrText xml:space="preserve"> HYPERLINK "https://www.rts-tender.ru/" </w:instrText>
      </w:r>
      <w:r>
        <w:fldChar w:fldCharType="separate"/>
      </w:r>
      <w:r>
        <w:rPr>
          <w:rStyle w:val="6"/>
          <w:color w:val="auto"/>
        </w:rPr>
        <w:t xml:space="preserve"> https://www.rts-</w:t>
      </w:r>
      <w:r>
        <w:rPr>
          <w:rStyle w:val="6"/>
          <w:color w:val="auto"/>
        </w:rPr>
        <w:fldChar w:fldCharType="end"/>
      </w:r>
      <w:r>
        <w:rPr>
          <w:rStyle w:val="14"/>
          <w:color w:val="auto"/>
          <w:lang w:val="ru-RU"/>
        </w:rPr>
        <w:t xml:space="preserve"> </w:t>
      </w:r>
      <w:r>
        <w:fldChar w:fldCharType="begin"/>
      </w:r>
      <w:r>
        <w:instrText xml:space="preserve"> HYPERLINK "https://www.rts-tender.ru/" </w:instrText>
      </w:r>
      <w:r>
        <w:fldChar w:fldCharType="separate"/>
      </w:r>
      <w:r>
        <w:rPr>
          <w:rStyle w:val="6"/>
          <w:color w:val="auto"/>
        </w:rPr>
        <w:t>tender.ru</w:t>
      </w:r>
      <w:r>
        <w:rPr>
          <w:rStyle w:val="6"/>
          <w:color w:val="auto"/>
          <w:lang w:eastAsia="en-US" w:bidi="en-US"/>
        </w:rPr>
        <w:t>,</w:t>
      </w:r>
      <w:r>
        <w:rPr>
          <w:rStyle w:val="6"/>
          <w:color w:val="auto"/>
          <w:lang w:eastAsia="en-US" w:bidi="en-US"/>
        </w:rPr>
        <w:fldChar w:fldCharType="end"/>
      </w:r>
      <w:r>
        <w:rPr>
          <w:color w:val="auto"/>
          <w:lang w:eastAsia="en-US" w:bidi="en-US"/>
        </w:rPr>
        <w:t xml:space="preserve"> </w:t>
      </w:r>
      <w:r>
        <w:rPr>
          <w:color w:val="auto"/>
        </w:rPr>
        <w:t>начиная с даты начала приема заявок до времени и даты окончания приема заявок, указанных в документации об аукционе в электронной форме.</w:t>
      </w:r>
    </w:p>
    <w:p w14:paraId="67F8556E">
      <w:pPr>
        <w:pStyle w:val="10"/>
        <w:shd w:val="clear" w:color="auto" w:fill="auto"/>
        <w:tabs>
          <w:tab w:val="left" w:pos="8227"/>
          <w:tab w:val="left" w:pos="8722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Заявка с прилагаемыми к ней документами, поданная в форме электронного документа, должна быть подписана усиленной квалифицированной электронной подписью в соответствии с Федеральным законом от 06.04.2011 № 63-ФЗ «Об электронной подписи».</w:t>
      </w:r>
    </w:p>
    <w:p w14:paraId="202AD2FA">
      <w:pPr>
        <w:pStyle w:val="1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Заявки с прилагаемыми к ней документами, поданные с нарушением установленного срока, не регистрируются программными средствами электронной торговой площадки.</w:t>
      </w:r>
    </w:p>
    <w:p w14:paraId="2DEB215A">
      <w:pPr>
        <w:pStyle w:val="1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Информацию о поступлении заявки Оператор сообщает Заявителю путем направления уведомления.</w:t>
      </w:r>
    </w:p>
    <w:p w14:paraId="351B8DD3">
      <w:pPr>
        <w:pStyle w:val="1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Решение о допуске или не допуске Заявителей к участию в аукционе в электронной форме принимает исключительно Организатор торгов.</w:t>
      </w:r>
    </w:p>
    <w:p w14:paraId="627BD081">
      <w:pPr>
        <w:pStyle w:val="1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Изменение заявки допускается только путем подачи Заявителем новой заявки в установленные в извещении о проведении аукциона сроки, при этом первоначальная заявка должна быть отозвана.</w:t>
      </w:r>
    </w:p>
    <w:p w14:paraId="244C9A99">
      <w:pPr>
        <w:pStyle w:val="10"/>
        <w:shd w:val="clear" w:color="auto" w:fill="auto"/>
        <w:tabs>
          <w:tab w:val="left" w:pos="1077"/>
        </w:tabs>
        <w:spacing w:after="0" w:line="274" w:lineRule="exact"/>
        <w:ind w:firstLine="0"/>
        <w:jc w:val="both"/>
        <w:rPr>
          <w:color w:val="auto"/>
        </w:rPr>
      </w:pPr>
      <w:r>
        <w:rPr>
          <w:rStyle w:val="13"/>
          <w:color w:val="auto"/>
          <w:u w:val="none"/>
        </w:rPr>
        <w:t xml:space="preserve">          </w:t>
      </w:r>
      <w:r>
        <w:rPr>
          <w:rStyle w:val="13"/>
          <w:b/>
          <w:color w:val="auto"/>
          <w:u w:val="none"/>
        </w:rPr>
        <w:t>8.2.</w:t>
      </w:r>
      <w:r>
        <w:rPr>
          <w:rStyle w:val="13"/>
          <w:color w:val="auto"/>
          <w:u w:val="none"/>
        </w:rPr>
        <w:t xml:space="preserve"> Для участия в аукционе заявители представляют:</w:t>
      </w:r>
    </w:p>
    <w:p w14:paraId="5E30D17A">
      <w:pPr>
        <w:pStyle w:val="10"/>
        <w:numPr>
          <w:ilvl w:val="0"/>
          <w:numId w:val="8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заявку на участие в аукционе по установленной в извещении о проведении аукциона и аукционной документацией форме с указанием банковских реквизитов счета для возврата задатка;</w:t>
      </w:r>
    </w:p>
    <w:p w14:paraId="3CE4E884">
      <w:pPr>
        <w:pStyle w:val="10"/>
        <w:numPr>
          <w:ilvl w:val="0"/>
          <w:numId w:val="8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копии документов, удостоверяющих личность заявителя (для граждан);</w:t>
      </w:r>
    </w:p>
    <w:p w14:paraId="36789B5D">
      <w:pPr>
        <w:pStyle w:val="10"/>
        <w:numPr>
          <w:ilvl w:val="0"/>
          <w:numId w:val="8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73CD6794">
      <w:pPr>
        <w:pStyle w:val="10"/>
        <w:numPr>
          <w:ilvl w:val="0"/>
          <w:numId w:val="8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color w:val="auto"/>
        </w:rPr>
        <w:t>документы, подтверждающие внесение задатка. Представление документов, подтверждающих внесение задатка, признается заключением соглашения о задатке.</w:t>
      </w:r>
    </w:p>
    <w:p w14:paraId="304C4F8C">
      <w:pPr>
        <w:pStyle w:val="12"/>
        <w:keepNext/>
        <w:keepLines/>
        <w:shd w:val="clear" w:color="auto" w:fill="auto"/>
        <w:tabs>
          <w:tab w:val="left" w:pos="3320"/>
        </w:tabs>
        <w:spacing w:before="0" w:after="0" w:line="274" w:lineRule="exact"/>
        <w:ind w:firstLine="567"/>
        <w:jc w:val="both"/>
        <w:rPr>
          <w:color w:val="auto"/>
        </w:rPr>
      </w:pPr>
      <w:bookmarkStart w:id="10" w:name="bookmark11"/>
      <w:r>
        <w:rPr>
          <w:color w:val="auto"/>
          <w:lang w:val="ru-RU"/>
        </w:rPr>
        <w:t>Приём</w:t>
      </w:r>
      <w:r>
        <w:rPr>
          <w:color w:val="auto"/>
        </w:rPr>
        <w:t xml:space="preserve"> документов прекращается не ранее чем за три рабочих дня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14:paraId="6320011E">
      <w:pPr>
        <w:pStyle w:val="12"/>
        <w:keepNext/>
        <w:keepLines/>
        <w:shd w:val="clear" w:color="auto" w:fill="auto"/>
        <w:tabs>
          <w:tab w:val="left" w:pos="3320"/>
        </w:tabs>
        <w:spacing w:before="0" w:after="0" w:line="274" w:lineRule="exact"/>
        <w:jc w:val="both"/>
        <w:rPr>
          <w:color w:val="auto"/>
        </w:rPr>
      </w:pPr>
    </w:p>
    <w:p w14:paraId="3A533A30">
      <w:pPr>
        <w:pStyle w:val="12"/>
        <w:keepNext/>
        <w:keepLines/>
        <w:shd w:val="clear" w:color="auto" w:fill="auto"/>
        <w:tabs>
          <w:tab w:val="left" w:pos="3320"/>
        </w:tabs>
        <w:spacing w:before="0" w:after="0" w:line="274" w:lineRule="exact"/>
        <w:rPr>
          <w:b/>
          <w:color w:val="auto"/>
        </w:rPr>
      </w:pPr>
      <w:r>
        <w:rPr>
          <w:b/>
          <w:color w:val="auto"/>
        </w:rPr>
        <w:t>9. Отзыв заявок на участие в торгах</w:t>
      </w:r>
      <w:bookmarkEnd w:id="10"/>
    </w:p>
    <w:p w14:paraId="6A0D7334">
      <w:pPr>
        <w:pStyle w:val="12"/>
        <w:keepNext/>
        <w:keepLines/>
        <w:shd w:val="clear" w:color="auto" w:fill="auto"/>
        <w:tabs>
          <w:tab w:val="left" w:pos="3320"/>
        </w:tabs>
        <w:spacing w:before="0" w:after="0" w:line="274" w:lineRule="exact"/>
        <w:rPr>
          <w:b/>
          <w:color w:val="auto"/>
        </w:rPr>
      </w:pPr>
    </w:p>
    <w:p w14:paraId="49C54577">
      <w:pPr>
        <w:pStyle w:val="40"/>
        <w:numPr>
          <w:ilvl w:val="0"/>
          <w:numId w:val="7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hAnsi="Times New Roman" w:eastAsia="Times New Roman" w:cs="Times New Roman"/>
          <w:vanish/>
          <w:color w:val="auto"/>
        </w:rPr>
      </w:pPr>
    </w:p>
    <w:p w14:paraId="43B60B7F">
      <w:pPr>
        <w:pStyle w:val="10"/>
        <w:shd w:val="clear" w:color="auto" w:fill="auto"/>
        <w:tabs>
          <w:tab w:val="left" w:pos="567"/>
          <w:tab w:val="left" w:pos="1053"/>
        </w:tabs>
        <w:spacing w:after="0" w:line="274" w:lineRule="exact"/>
        <w:ind w:firstLine="0"/>
        <w:jc w:val="both"/>
        <w:rPr>
          <w:color w:val="auto"/>
          <w:shd w:val="clear" w:color="auto" w:fill="FFFFFF"/>
        </w:rPr>
      </w:pPr>
      <w:r>
        <w:rPr>
          <w:color w:val="auto"/>
        </w:rPr>
        <w:t xml:space="preserve">          </w:t>
      </w:r>
      <w:r>
        <w:rPr>
          <w:b/>
          <w:color w:val="auto"/>
        </w:rPr>
        <w:t>9.1.</w:t>
      </w:r>
      <w:r>
        <w:rPr>
          <w:color w:val="auto"/>
        </w:rPr>
        <w:t xml:space="preserve"> </w:t>
      </w:r>
      <w:r>
        <w:rPr>
          <w:color w:val="auto"/>
          <w:shd w:val="clear" w:color="auto" w:fill="FFFFFF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</w:t>
      </w:r>
    </w:p>
    <w:p w14:paraId="00C2B6C7">
      <w:pPr>
        <w:pStyle w:val="1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14:paraId="7632C29B">
      <w:pPr>
        <w:pStyle w:val="10"/>
        <w:shd w:val="clear" w:color="auto" w:fill="auto"/>
        <w:tabs>
          <w:tab w:val="left" w:pos="1052"/>
        </w:tabs>
        <w:spacing w:after="0" w:line="240" w:lineRule="auto"/>
        <w:ind w:firstLine="0"/>
        <w:jc w:val="both"/>
        <w:rPr>
          <w:color w:val="auto"/>
        </w:rPr>
      </w:pPr>
      <w:r>
        <w:rPr>
          <w:color w:val="auto"/>
        </w:rPr>
        <w:t xml:space="preserve">          </w:t>
      </w:r>
      <w:r>
        <w:rPr>
          <w:b/>
          <w:color w:val="auto"/>
        </w:rPr>
        <w:t xml:space="preserve">9.2. </w:t>
      </w:r>
      <w:r>
        <w:rPr>
          <w:color w:val="auto"/>
        </w:rPr>
        <w:t xml:space="preserve">Организатор аукциона вправе отказаться от проведения аукциона в случае выявления обстоятельств, предусмотренных п. 8 ст. 39.11 Земельного кодекса РФ. </w:t>
      </w:r>
    </w:p>
    <w:p w14:paraId="02C876A0">
      <w:pPr>
        <w:pStyle w:val="10"/>
        <w:shd w:val="clear" w:color="auto" w:fill="auto"/>
        <w:tabs>
          <w:tab w:val="left" w:pos="1052"/>
        </w:tabs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>Извещение об отказе в проведении аукциона размещается на официальном сайте:</w:t>
      </w:r>
      <w:r>
        <w:fldChar w:fldCharType="begin"/>
      </w:r>
      <w:r>
        <w:instrText xml:space="preserve"> HYPERLINK "http://www.torgi.gov.ru/" </w:instrText>
      </w:r>
      <w:r>
        <w:fldChar w:fldCharType="separate"/>
      </w:r>
      <w:r>
        <w:rPr>
          <w:rStyle w:val="6"/>
          <w:color w:val="auto"/>
        </w:rPr>
        <w:t xml:space="preserve"> </w:t>
      </w:r>
      <w:r>
        <w:rPr>
          <w:rStyle w:val="6"/>
          <w:color w:val="auto"/>
          <w:lang w:val="en-US" w:eastAsia="en-US" w:bidi="en-US"/>
        </w:rPr>
        <w:t>www</w:t>
      </w:r>
      <w:r>
        <w:rPr>
          <w:rStyle w:val="6"/>
          <w:color w:val="auto"/>
          <w:lang w:eastAsia="en-US" w:bidi="en-US"/>
        </w:rPr>
        <w:t>.</w:t>
      </w:r>
      <w:r>
        <w:rPr>
          <w:rStyle w:val="6"/>
          <w:color w:val="auto"/>
          <w:lang w:val="en-US" w:eastAsia="en-US" w:bidi="en-US"/>
        </w:rPr>
        <w:t>torgi</w:t>
      </w:r>
      <w:r>
        <w:rPr>
          <w:rStyle w:val="6"/>
          <w:color w:val="auto"/>
          <w:lang w:eastAsia="en-US" w:bidi="en-US"/>
        </w:rPr>
        <w:t>.</w:t>
      </w:r>
      <w:r>
        <w:rPr>
          <w:rStyle w:val="6"/>
          <w:color w:val="auto"/>
          <w:lang w:val="en-US" w:eastAsia="en-US" w:bidi="en-US"/>
        </w:rPr>
        <w:t>gov</w:t>
      </w:r>
      <w:r>
        <w:rPr>
          <w:rStyle w:val="6"/>
          <w:color w:val="auto"/>
          <w:lang w:eastAsia="en-US" w:bidi="en-US"/>
        </w:rPr>
        <w:t>.</w:t>
      </w:r>
      <w:r>
        <w:rPr>
          <w:rStyle w:val="6"/>
          <w:color w:val="auto"/>
          <w:lang w:val="en-US" w:eastAsia="en-US" w:bidi="en-US"/>
        </w:rPr>
        <w:t>ru</w:t>
      </w:r>
      <w:r>
        <w:rPr>
          <w:rStyle w:val="6"/>
          <w:color w:val="auto"/>
          <w:lang w:eastAsia="en-US" w:bidi="en-US"/>
        </w:rPr>
        <w:t>,</w:t>
      </w:r>
      <w:r>
        <w:rPr>
          <w:rStyle w:val="6"/>
          <w:color w:val="auto"/>
          <w:lang w:eastAsia="en-US" w:bidi="en-US"/>
        </w:rPr>
        <w:fldChar w:fldCharType="end"/>
      </w:r>
      <w:r>
        <w:rPr>
          <w:color w:val="auto"/>
        </w:rPr>
        <w:t xml:space="preserve"> организатором аукциона в течение 3 (трех) дней со дня принятия данного решения. </w:t>
      </w:r>
    </w:p>
    <w:p w14:paraId="3B16248D">
      <w:pPr>
        <w:pStyle w:val="10"/>
        <w:shd w:val="clear" w:color="auto" w:fill="auto"/>
        <w:tabs>
          <w:tab w:val="left" w:pos="1052"/>
        </w:tabs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 xml:space="preserve">Организатор аукциона в течение 3 (трех)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 в порядке, предусмотренном регламентом электронной площадки. </w:t>
      </w:r>
    </w:p>
    <w:p w14:paraId="7E90932D">
      <w:pPr>
        <w:pStyle w:val="10"/>
        <w:shd w:val="clear" w:color="auto" w:fill="auto"/>
        <w:tabs>
          <w:tab w:val="left" w:pos="1052"/>
        </w:tabs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>Извещение об отказе в проведении аукциона размещается на сайтах:</w:t>
      </w:r>
      <w:r>
        <w:fldChar w:fldCharType="begin"/>
      </w:r>
      <w:r>
        <w:instrText xml:space="preserve"> HYPERLINK "http://www.torgi.gov.ru/" </w:instrText>
      </w:r>
      <w:r>
        <w:fldChar w:fldCharType="separate"/>
      </w:r>
      <w:r>
        <w:rPr>
          <w:rStyle w:val="6"/>
          <w:color w:val="auto"/>
        </w:rPr>
        <w:t xml:space="preserve"> </w:t>
      </w:r>
      <w:r>
        <w:rPr>
          <w:rStyle w:val="6"/>
          <w:color w:val="auto"/>
          <w:lang w:val="en-US" w:eastAsia="en-US" w:bidi="en-US"/>
        </w:rPr>
        <w:t>www</w:t>
      </w:r>
      <w:r>
        <w:rPr>
          <w:rStyle w:val="6"/>
          <w:color w:val="auto"/>
          <w:lang w:eastAsia="en-US" w:bidi="en-US"/>
        </w:rPr>
        <w:t>.</w:t>
      </w:r>
      <w:r>
        <w:rPr>
          <w:rStyle w:val="6"/>
          <w:color w:val="auto"/>
          <w:lang w:val="en-US" w:eastAsia="en-US" w:bidi="en-US"/>
        </w:rPr>
        <w:t>torgi</w:t>
      </w:r>
      <w:r>
        <w:rPr>
          <w:rStyle w:val="6"/>
          <w:color w:val="auto"/>
          <w:lang w:eastAsia="en-US" w:bidi="en-US"/>
        </w:rPr>
        <w:t>.</w:t>
      </w:r>
      <w:r>
        <w:rPr>
          <w:rStyle w:val="6"/>
          <w:color w:val="auto"/>
          <w:lang w:val="en-US" w:eastAsia="en-US" w:bidi="en-US"/>
        </w:rPr>
        <w:t>gov</w:t>
      </w:r>
      <w:r>
        <w:rPr>
          <w:rStyle w:val="6"/>
          <w:color w:val="auto"/>
          <w:lang w:eastAsia="en-US" w:bidi="en-US"/>
        </w:rPr>
        <w:t>.</w:t>
      </w:r>
      <w:r>
        <w:rPr>
          <w:rStyle w:val="6"/>
          <w:color w:val="auto"/>
          <w:lang w:val="en-US" w:eastAsia="en-US" w:bidi="en-US"/>
        </w:rPr>
        <w:t>ru</w:t>
      </w:r>
      <w:r>
        <w:rPr>
          <w:rStyle w:val="6"/>
          <w:color w:val="auto"/>
          <w:lang w:eastAsia="en-US" w:bidi="en-US"/>
        </w:rPr>
        <w:t>,</w:t>
      </w:r>
      <w:r>
        <w:rPr>
          <w:rStyle w:val="6"/>
          <w:color w:val="auto"/>
          <w:lang w:eastAsia="en-US" w:bidi="en-US"/>
        </w:rPr>
        <w:fldChar w:fldCharType="end"/>
      </w:r>
      <w:r>
        <w:rPr>
          <w:color w:val="auto"/>
        </w:rPr>
        <w:t xml:space="preserve"> </w:t>
      </w:r>
      <w:r>
        <w:fldChar w:fldCharType="begin"/>
      </w:r>
      <w:r>
        <w:instrText xml:space="preserve"> HYPERLINK "https://www.rts-tender.ru/" </w:instrText>
      </w:r>
      <w:r>
        <w:fldChar w:fldCharType="separate"/>
      </w:r>
      <w:r>
        <w:rPr>
          <w:rStyle w:val="6"/>
          <w:color w:val="auto"/>
        </w:rPr>
        <w:t>www.rts-tender.ru</w:t>
      </w:r>
      <w:r>
        <w:rPr>
          <w:rStyle w:val="6"/>
          <w:color w:val="auto"/>
          <w:lang w:eastAsia="en-US" w:bidi="en-US"/>
        </w:rPr>
        <w:t>,</w:t>
      </w:r>
      <w:r>
        <w:rPr>
          <w:rStyle w:val="6"/>
          <w:color w:val="auto"/>
          <w:lang w:eastAsia="en-US" w:bidi="en-US"/>
        </w:rPr>
        <w:fldChar w:fldCharType="end"/>
      </w:r>
      <w:r>
        <w:rPr>
          <w:color w:val="auto"/>
        </w:rPr>
        <w:t xml:space="preserve"> </w:t>
      </w:r>
      <w:r>
        <w:fldChar w:fldCharType="begin"/>
      </w:r>
      <w:r>
        <w:instrText xml:space="preserve"> HYPERLINK "https://ust-koksa-altay.ru/" </w:instrText>
      </w:r>
      <w:r>
        <w:fldChar w:fldCharType="separate"/>
      </w:r>
      <w:r>
        <w:rPr>
          <w:rStyle w:val="6"/>
          <w:color w:val="auto"/>
        </w:rPr>
        <w:t>https://ust-koksa-altay.ru/</w:t>
      </w:r>
      <w:r>
        <w:rPr>
          <w:rStyle w:val="6"/>
          <w:color w:val="auto"/>
        </w:rPr>
        <w:fldChar w:fldCharType="end"/>
      </w:r>
    </w:p>
    <w:p w14:paraId="7A8115D3">
      <w:pPr>
        <w:pStyle w:val="10"/>
        <w:shd w:val="clear" w:color="auto" w:fill="auto"/>
        <w:tabs>
          <w:tab w:val="left" w:pos="1052"/>
        </w:tabs>
        <w:spacing w:after="0" w:line="274" w:lineRule="exact"/>
        <w:ind w:firstLine="0"/>
        <w:jc w:val="both"/>
        <w:rPr>
          <w:color w:val="auto"/>
          <w:u w:val="single"/>
        </w:rPr>
      </w:pPr>
    </w:p>
    <w:p w14:paraId="0150776F">
      <w:pPr>
        <w:pStyle w:val="12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  <w:color w:val="auto"/>
        </w:rPr>
      </w:pPr>
      <w:bookmarkStart w:id="11" w:name="bookmark12"/>
      <w:r>
        <w:rPr>
          <w:b/>
          <w:color w:val="auto"/>
        </w:rPr>
        <w:t>10. Обеспечение заявки на участие в торгах</w:t>
      </w:r>
      <w:bookmarkEnd w:id="11"/>
    </w:p>
    <w:p w14:paraId="28BE8B47">
      <w:pPr>
        <w:pStyle w:val="10"/>
        <w:shd w:val="clear" w:color="auto" w:fill="auto"/>
        <w:spacing w:before="240" w:after="0" w:line="274" w:lineRule="exact"/>
        <w:ind w:firstLine="567"/>
        <w:jc w:val="both"/>
        <w:rPr>
          <w:color w:val="auto"/>
        </w:rPr>
      </w:pPr>
      <w:r>
        <w:rPr>
          <w:b/>
          <w:bCs/>
          <w:color w:val="auto"/>
        </w:rPr>
        <w:t>10.1</w:t>
      </w:r>
      <w:r>
        <w:rPr>
          <w:color w:val="auto"/>
        </w:rPr>
        <w:t>. Порядок внесения суммы задатка осуществляется в соответствии с регламентом электронной площадки (https://www.rts-tender.ru/tariffs/platform-44-tariffs).</w:t>
      </w:r>
    </w:p>
    <w:p w14:paraId="1775C76E">
      <w:pPr>
        <w:pStyle w:val="1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</w:rPr>
        <w:t xml:space="preserve">Перечисление денежных средств производится на счёт оператора электронной площадки в соответствии с регламентом площадки, по следующим реквизитам: </w:t>
      </w:r>
    </w:p>
    <w:p w14:paraId="052EA289">
      <w:pPr>
        <w:pStyle w:val="1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</w:rPr>
        <w:t>Получатель: ООО «РТС-тендер»</w:t>
      </w:r>
    </w:p>
    <w:p w14:paraId="0AE039D1">
      <w:pPr>
        <w:pStyle w:val="10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>
        <w:rPr>
          <w:color w:val="auto"/>
        </w:rPr>
        <w:t xml:space="preserve">  Наименование банка: Филиал «Корпоративный» ПАО «Совкомбанк»</w:t>
      </w:r>
    </w:p>
    <w:p w14:paraId="66AEEEAD">
      <w:pPr>
        <w:pStyle w:val="10"/>
        <w:shd w:val="clear" w:color="auto" w:fill="auto"/>
        <w:spacing w:after="0" w:line="274" w:lineRule="exact"/>
        <w:ind w:left="567" w:right="5360" w:firstLine="0"/>
        <w:jc w:val="both"/>
        <w:rPr>
          <w:color w:val="auto"/>
        </w:rPr>
      </w:pPr>
      <w:r>
        <w:rPr>
          <w:color w:val="auto"/>
        </w:rPr>
        <w:t>Р/с: 40702810512030016362 Корр.счёт:   30101810445250000360 БИК: 044525360 ИНН:7710357167 КПП:773001001</w:t>
      </w:r>
    </w:p>
    <w:p w14:paraId="6B32E978">
      <w:pPr>
        <w:pStyle w:val="1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</w:rPr>
        <w:t>Назначение платежа: «Внесение гарантийного обеспечения по Соглашению о внесении гарантийного обеспечения, № аналитического счета. Без НДС»</w:t>
      </w:r>
    </w:p>
    <w:p w14:paraId="1EAC217C">
      <w:pPr>
        <w:pStyle w:val="10"/>
        <w:shd w:val="clear" w:color="auto" w:fill="auto"/>
        <w:tabs>
          <w:tab w:val="left" w:pos="567"/>
        </w:tabs>
        <w:spacing w:after="0" w:line="274" w:lineRule="exact"/>
        <w:ind w:firstLine="460"/>
        <w:jc w:val="both"/>
        <w:rPr>
          <w:color w:val="auto"/>
        </w:rPr>
      </w:pPr>
      <w:r>
        <w:rPr>
          <w:color w:val="auto"/>
        </w:rPr>
        <w:t xml:space="preserve">  Оператор электронной площадки открывает заявителю аналитический счет, на котором учитываются операции по перечислению денежных средств. Внесенные денежные средства в размере, равном задатку, указанному в извещении, блокируются оператором после подачи заявки заявителем в соответствии с регламентом площадки. </w:t>
      </w:r>
    </w:p>
    <w:p w14:paraId="603B2A86">
      <w:pPr>
        <w:pStyle w:val="10"/>
        <w:shd w:val="clear" w:color="auto" w:fill="auto"/>
        <w:tabs>
          <w:tab w:val="left" w:pos="567"/>
        </w:tabs>
        <w:spacing w:after="0" w:line="274" w:lineRule="exact"/>
        <w:ind w:firstLine="460"/>
        <w:jc w:val="both"/>
        <w:rPr>
          <w:color w:val="auto"/>
        </w:rPr>
      </w:pPr>
      <w:r>
        <w:rPr>
          <w:color w:val="auto"/>
        </w:rPr>
        <w:t>Основанием для блокирования денежных средств является поданная заявка на участие в аукционе, направленная оператору электронной площадки. Заблокированные на аналитическом счете заявителя денежные средства являются задатком.</w:t>
      </w:r>
    </w:p>
    <w:p w14:paraId="64B2F713">
      <w:pPr>
        <w:pStyle w:val="10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>
        <w:rPr>
          <w:color w:val="auto"/>
        </w:rPr>
        <w:t xml:space="preserve">  Прекращение блокирования денежных средств на аналитическом счете заявителя в соответствии с регламентом производится оператором электронной площадки в следующем порядке:</w:t>
      </w:r>
    </w:p>
    <w:p w14:paraId="2DB07A6F">
      <w:pPr>
        <w:pStyle w:val="10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>
        <w:rPr>
          <w:color w:val="auto"/>
        </w:rPr>
        <w:t xml:space="preserve">  - для заявителя, отозвавшего заявку до окончания срока приема заявок, указанного в извещении - в течение 3 (трех) рабочих дней со дня поступления уведомления об отзыве заявки;</w:t>
      </w:r>
    </w:p>
    <w:p w14:paraId="18654BF5">
      <w:pPr>
        <w:pStyle w:val="10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>
        <w:rPr>
          <w:color w:val="auto"/>
        </w:rPr>
        <w:t xml:space="preserve">  - для заявителя, не допущенного к участию в аукционе - в течение 3 (трех) рабочих дней со дня оформления Протокола рассмотрения заявок на участие в аукционе в соответствии с регламентом;</w:t>
      </w:r>
    </w:p>
    <w:p w14:paraId="24DEFC23">
      <w:pPr>
        <w:pStyle w:val="10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>
        <w:rPr>
          <w:color w:val="auto"/>
        </w:rPr>
        <w:t xml:space="preserve"> - для участников аукциона, участвовавших в аукционе, но не победивших в нем, - в течение 3 (трех) рабочих дней со дня подписания Протокола о результатах аукциона в соответствии с регламентом площадки.</w:t>
      </w:r>
    </w:p>
    <w:p w14:paraId="72252995">
      <w:pPr>
        <w:pStyle w:val="10"/>
        <w:shd w:val="clear" w:color="auto" w:fill="auto"/>
        <w:spacing w:after="0" w:line="274" w:lineRule="exact"/>
        <w:ind w:firstLine="460"/>
        <w:jc w:val="both"/>
        <w:rPr>
          <w:color w:val="auto"/>
        </w:rPr>
      </w:pPr>
    </w:p>
    <w:p w14:paraId="58CAAC9A">
      <w:pPr>
        <w:pStyle w:val="12"/>
        <w:keepNext/>
        <w:keepLines/>
        <w:shd w:val="clear" w:color="auto" w:fill="auto"/>
        <w:tabs>
          <w:tab w:val="left" w:pos="2689"/>
        </w:tabs>
        <w:spacing w:before="0" w:after="0" w:line="274" w:lineRule="exact"/>
        <w:rPr>
          <w:b/>
          <w:color w:val="auto"/>
        </w:rPr>
      </w:pPr>
      <w:r>
        <w:rPr>
          <w:b/>
          <w:color w:val="auto"/>
        </w:rPr>
        <w:t xml:space="preserve">11. </w:t>
      </w:r>
      <w:bookmarkStart w:id="12" w:name="bookmark15"/>
      <w:r>
        <w:rPr>
          <w:b/>
          <w:color w:val="auto"/>
        </w:rPr>
        <w:t>Условия и порядок проведения аукциона</w:t>
      </w:r>
      <w:bookmarkEnd w:id="12"/>
    </w:p>
    <w:p w14:paraId="06CD73E2">
      <w:pPr>
        <w:pStyle w:val="12"/>
        <w:keepNext/>
        <w:keepLines/>
        <w:shd w:val="clear" w:color="auto" w:fill="auto"/>
        <w:tabs>
          <w:tab w:val="left" w:pos="2689"/>
        </w:tabs>
        <w:spacing w:before="0" w:after="0" w:line="274" w:lineRule="exact"/>
        <w:rPr>
          <w:b/>
          <w:color w:val="auto"/>
        </w:rPr>
      </w:pPr>
    </w:p>
    <w:p w14:paraId="0F24CEB8">
      <w:pPr>
        <w:pStyle w:val="40"/>
        <w:numPr>
          <w:ilvl w:val="0"/>
          <w:numId w:val="7"/>
        </w:numPr>
        <w:tabs>
          <w:tab w:val="left" w:pos="1318"/>
        </w:tabs>
        <w:spacing w:line="274" w:lineRule="exact"/>
        <w:contextualSpacing w:val="0"/>
        <w:jc w:val="both"/>
        <w:rPr>
          <w:rFonts w:ascii="Times New Roman" w:hAnsi="Times New Roman" w:eastAsia="Times New Roman" w:cs="Times New Roman"/>
          <w:vanish/>
          <w:color w:val="auto"/>
        </w:rPr>
      </w:pPr>
    </w:p>
    <w:p w14:paraId="0A0489F7">
      <w:pPr>
        <w:pStyle w:val="1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11.1.</w:t>
      </w:r>
      <w:r>
        <w:rPr>
          <w:color w:val="auto"/>
        </w:rPr>
        <w:t xml:space="preserve"> Аукцион проводится в электронном виде на электронной торговой площадке ООО «РТС-тендер»</w:t>
      </w:r>
      <w:r>
        <w:fldChar w:fldCharType="begin"/>
      </w:r>
      <w:r>
        <w:instrText xml:space="preserve"> HYPERLINK "https://www.rts-tender.ru/" </w:instrText>
      </w:r>
      <w:r>
        <w:fldChar w:fldCharType="separate"/>
      </w:r>
      <w:r>
        <w:fldChar w:fldCharType="end"/>
      </w:r>
      <w:r>
        <w:rPr>
          <w:rStyle w:val="6"/>
          <w:color w:val="auto"/>
          <w:u w:val="none"/>
          <w:lang w:eastAsia="en-US" w:bidi="en-US"/>
        </w:rPr>
        <w:t xml:space="preserve"> (в соответствии с регламентом площадки)</w:t>
      </w:r>
      <w:r>
        <w:rPr>
          <w:color w:val="auto"/>
        </w:rPr>
        <w:t xml:space="preserve"> в указанный в извещении о проведении аукциона день и час путем повышения начальной (минимальной) цены договора (цены лота), указанной в извещении о проведении аукциона, на «шаг аукциона».</w:t>
      </w:r>
    </w:p>
    <w:p w14:paraId="4DB10FC6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b/>
          <w:bCs/>
          <w:color w:val="auto"/>
          <w:lang w:bidi="ar-SA"/>
        </w:rPr>
        <w:t>11.2.</w:t>
      </w:r>
      <w:r>
        <w:rPr>
          <w:rFonts w:ascii="Times New Roman" w:hAnsi="Times New Roman" w:cs="Times New Roman"/>
          <w:color w:val="auto"/>
          <w:lang w:bidi="ar-SA"/>
        </w:rPr>
        <w:t xml:space="preserve"> </w:t>
      </w:r>
      <w:r>
        <w:rPr>
          <w:rFonts w:ascii="Times New Roman" w:hAnsi="Times New Roman" w:cs="Times New Roman"/>
          <w:color w:val="auto"/>
        </w:rPr>
        <w:t>В аукционе могут участвовать только заявители, признанные участниками аукциона.</w:t>
      </w:r>
    </w:p>
    <w:p w14:paraId="2827F46A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b/>
          <w:color w:val="auto"/>
        </w:rPr>
        <w:t>11.3.</w:t>
      </w:r>
      <w:r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  <w:lang w:bidi="ar-SA"/>
        </w:rPr>
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</w:p>
    <w:p w14:paraId="19840053">
      <w:pPr>
        <w:pStyle w:val="1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11.4.</w:t>
      </w:r>
      <w:r>
        <w:rPr>
          <w:color w:val="auto"/>
        </w:rPr>
        <w:t xml:space="preserve"> 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договора для подведения итогов аукциона путем оформления протокола об итогах аукциона, который размещается на официальных сайтах торгов в течение дня, следующего за днем подписания указанного протокола.</w:t>
      </w:r>
    </w:p>
    <w:p w14:paraId="25178090">
      <w:pPr>
        <w:pStyle w:val="10"/>
        <w:shd w:val="clear" w:color="auto" w:fill="auto"/>
        <w:tabs>
          <w:tab w:val="left" w:pos="1474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11.5. </w:t>
      </w:r>
      <w:r>
        <w:rPr>
          <w:color w:val="auto"/>
        </w:rPr>
        <w:t>Оператор электронной площадки вправе в соответствии с Правилами, утвержденными постановлением Правительства РФ от 10.05.2018№ 564 «О взимании операторами электронных площадок, операторами специализированных электронных площадок платы при проведении электронной процедуры, закрытой электронной процедуры и установлении ее предельных размеров» взимать плату за участие в электронном аукционе с победителя электронного аукциона или иных лиц, с которыми в соответствии с п.п.13, 14, 20, 25 ст.39.12 Кодекса заключается договор аренды земельного участка.</w:t>
      </w:r>
    </w:p>
    <w:p w14:paraId="199430C2">
      <w:pPr>
        <w:pStyle w:val="10"/>
        <w:shd w:val="clear" w:color="auto" w:fill="auto"/>
        <w:spacing w:after="0" w:line="274" w:lineRule="exact"/>
        <w:ind w:firstLine="567"/>
        <w:jc w:val="both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>Размер тарифа – 1% от начальной цены имущества и не более 5 000 рублей, не включая НДС 20%.</w:t>
      </w:r>
    </w:p>
    <w:p w14:paraId="01B74FFF">
      <w:pPr>
        <w:pStyle w:val="1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  <w:shd w:val="clear" w:color="auto" w:fill="FFFFFF"/>
        </w:rPr>
        <w:t>Размер тарифа – 1% от начальной цены имущества и не более 2 000 рублей, включая НДС 20%, при проведении Аукциона в случае, предусмотренном п. 7 ст. 39.18 Земельного кодекса Российской Федерации, по результатам которого договор заключается с гражданином, а также при проведении Аукциона в отношении земельного участка, находящегося в государственной или муниципальной собственности, включенного в перечень государственного имущества или перечень муниципального имущества, предусмотренные ч. 4 ст. 18 ФЗ "О развитии малого и среднего предпринимательства в Российской Федерации"</w:t>
      </w:r>
      <w:r>
        <w:rPr>
          <w:color w:val="auto"/>
        </w:rPr>
        <w:t xml:space="preserve"> (информация размещена по ссылке </w:t>
      </w:r>
      <w:r>
        <w:fldChar w:fldCharType="begin"/>
      </w:r>
      <w:r>
        <w:instrText xml:space="preserve"> HYPERLINK "https://www.rts-tender.ru/tariffs/platform-property-sales-tariffs" </w:instrText>
      </w:r>
      <w:r>
        <w:fldChar w:fldCharType="separate"/>
      </w:r>
      <w:r>
        <w:rPr>
          <w:rStyle w:val="6"/>
          <w:color w:val="auto"/>
        </w:rPr>
        <w:t>https://www.rts-tender.ru/tariffs/platform-property-sales-tariffs</w:t>
      </w:r>
      <w:r>
        <w:rPr>
          <w:rStyle w:val="6"/>
          <w:color w:val="auto"/>
        </w:rPr>
        <w:fldChar w:fldCharType="end"/>
      </w:r>
      <w:r>
        <w:rPr>
          <w:color w:val="auto"/>
        </w:rPr>
        <w:t xml:space="preserve"> в разделе «Аренда земельных участков).</w:t>
      </w:r>
    </w:p>
    <w:p w14:paraId="616C28D3">
      <w:pPr>
        <w:pStyle w:val="10"/>
        <w:shd w:val="clear" w:color="auto" w:fill="auto"/>
        <w:tabs>
          <w:tab w:val="left" w:pos="1426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11.6.</w:t>
      </w:r>
      <w:r>
        <w:rPr>
          <w:color w:val="auto"/>
        </w:rPr>
        <w:t xml:space="preserve"> Процедура аукциона считается завершенной с момента подписания Организатором торгов протокола об итогах аукциона.</w:t>
      </w:r>
    </w:p>
    <w:p w14:paraId="43DE7D5B">
      <w:pPr>
        <w:pStyle w:val="1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11.7. </w:t>
      </w:r>
      <w:r>
        <w:rPr>
          <w:color w:val="auto"/>
        </w:rPr>
        <w:t>В случае,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заявителя, с лицом, подавшим единственную заявку на участие в аукционе, в случае, если указанная заявка соответствует требованиям и условиям, предусмотренным документацией об аукционе, а также с лицом, признанным единственным участником аукциона, организатор аукциона обязан заключить договор на условиях и по цене, которые предусмотрены заявкой на участие в аукционе и документацией об аукционе, но по цене не менее начальной (минимальной) цены договора (лота), указанной в извещении о проведении аукциона.</w:t>
      </w:r>
    </w:p>
    <w:p w14:paraId="10E5A133">
      <w:pPr>
        <w:pStyle w:val="10"/>
        <w:shd w:val="clear" w:color="auto" w:fill="auto"/>
        <w:tabs>
          <w:tab w:val="left" w:pos="1426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11.8. </w:t>
      </w:r>
      <w:r>
        <w:rPr>
          <w:color w:val="auto"/>
        </w:rPr>
        <w:t>Решение о признании аукциона несостоявшимся оформляется протоколом об итогах аукциона.</w:t>
      </w:r>
    </w:p>
    <w:p w14:paraId="646A34A7">
      <w:pPr>
        <w:pStyle w:val="1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11.9. </w:t>
      </w:r>
      <w:r>
        <w:rPr>
          <w:bCs/>
          <w:color w:val="auto"/>
        </w:rPr>
        <w:t>П</w:t>
      </w:r>
      <w:r>
        <w:rPr>
          <w:color w:val="auto"/>
        </w:rPr>
        <w:t xml:space="preserve">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1 (одного) часа после окончания электронного аукциона. </w:t>
      </w:r>
    </w:p>
    <w:p w14:paraId="481D7159">
      <w:pPr>
        <w:pStyle w:val="1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  <w:rPr>
          <w:color w:val="auto"/>
          <w:lang w:bidi="ar-SA"/>
        </w:rPr>
      </w:pPr>
      <w:r>
        <w:rPr>
          <w:color w:val="auto"/>
          <w:lang w:bidi="ar-SA"/>
        </w:rPr>
        <w:t>В протоколе проведения электронного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14:paraId="69797571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По результатам проведения электронного аукциона не допускается заключение договора купли-продажи земельного участка, находящегося в государственной или муниципальной собственности, либо договора аренды такого участка ранее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14:paraId="257981BC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</w:p>
    <w:p w14:paraId="08D9110C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  <w:lang w:bidi="ar-SA"/>
        </w:rPr>
      </w:pPr>
      <w:r>
        <w:rPr>
          <w:rFonts w:ascii="Times New Roman" w:hAnsi="Times New Roman" w:cs="Times New Roman"/>
          <w:b/>
          <w:bCs/>
          <w:color w:val="auto"/>
          <w:lang w:bidi="ar-SA"/>
        </w:rPr>
        <w:t>12.Порядок заключения договора</w:t>
      </w:r>
    </w:p>
    <w:p w14:paraId="2D432F4A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b/>
          <w:color w:val="auto"/>
        </w:rPr>
        <w:t>12.1.</w:t>
      </w:r>
      <w:r>
        <w:rPr>
          <w:rFonts w:ascii="Times New Roman" w:hAnsi="Times New Roman" w:cs="Times New Roman"/>
          <w:color w:val="auto"/>
        </w:rPr>
        <w:t xml:space="preserve"> Протокол рассмотрения заявок на участие в аукционе является основанием для заключения договора аренды с лицом, </w:t>
      </w:r>
      <w:r>
        <w:rPr>
          <w:rFonts w:ascii="Times New Roman" w:hAnsi="Times New Roman" w:cs="Times New Roman"/>
          <w:color w:val="auto"/>
          <w:lang w:bidi="ar-SA"/>
        </w:rPr>
        <w:t>признанным единственным участником аукциона.</w:t>
      </w:r>
    </w:p>
    <w:p w14:paraId="4BBFFB22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12.2</w:t>
      </w:r>
      <w:r>
        <w:rPr>
          <w:rFonts w:ascii="Times New Roman" w:hAnsi="Times New Roman" w:cs="Times New Roman"/>
          <w:color w:val="auto"/>
        </w:rPr>
        <w:t xml:space="preserve">. Протокол аукциона является основанием для заключения договора аренды с победителем аукциона или с </w:t>
      </w:r>
      <w:r>
        <w:rPr>
          <w:rFonts w:ascii="Times New Roman" w:hAnsi="Times New Roman" w:cs="Times New Roman"/>
          <w:color w:val="auto"/>
          <w:lang w:bidi="ar-SA"/>
        </w:rPr>
        <w:t>единственным принявшим участие в аукционе его участником</w:t>
      </w:r>
      <w:r>
        <w:rPr>
          <w:rFonts w:ascii="Times New Roman" w:hAnsi="Times New Roman" w:cs="Times New Roman"/>
          <w:color w:val="auto"/>
        </w:rPr>
        <w:t>.</w:t>
      </w:r>
    </w:p>
    <w:p w14:paraId="51CDF2A6">
      <w:pPr>
        <w:pStyle w:val="1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12.2.</w:t>
      </w:r>
      <w:r>
        <w:rPr>
          <w:color w:val="auto"/>
        </w:rPr>
        <w:t xml:space="preserve"> Не допускается заключение указанного договора ранее чем через 10 (десять) дней со дня размещения информации о результатах аукциона (результатах рассмотрения заявок на участие в аукционе) на официальном сайте.</w:t>
      </w:r>
    </w:p>
    <w:p w14:paraId="67AC2287">
      <w:pPr>
        <w:pStyle w:val="1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</w:rPr>
        <w:t xml:space="preserve">Уполномоченный орган обязан в течение 5 (пяти) дней со дня </w:t>
      </w:r>
      <w:r>
        <w:rPr>
          <w:color w:val="auto"/>
          <w:lang w:bidi="ar-SA"/>
        </w:rPr>
        <w:t>со дня размещения протокола рассмотрения заявок на участие в электронном аукционе</w:t>
      </w:r>
      <w:r>
        <w:rPr>
          <w:color w:val="auto"/>
        </w:rPr>
        <w:t xml:space="preserve"> направить победителю аукциона или единственному принявшему участие в аукционе его участнику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</w:t>
      </w:r>
    </w:p>
    <w:p w14:paraId="44C30072">
      <w:pPr>
        <w:suppressAutoHyphens/>
        <w:ind w:firstLine="567"/>
        <w:jc w:val="both"/>
        <w:rPr>
          <w:rFonts w:ascii="Times New Roman" w:hAnsi="Times New Roman" w:eastAsia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Арендная плата за первый отчетный год аренды за вычетом задатка подлежит внесению арендатором в день подписания договора аренды земельного участка.</w:t>
      </w:r>
    </w:p>
    <w:p w14:paraId="0DB2F9C5">
      <w:pPr>
        <w:pStyle w:val="1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12.3.</w:t>
      </w:r>
      <w:r>
        <w:rPr>
          <w:color w:val="auto"/>
        </w:rPr>
        <w:t xml:space="preserve"> Если договор аренды земельного участка в течение 10 дней со дня направления победителю аукциона проекта не будет им подписан и представлен в уполномоченный орган,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14:paraId="21508B22">
      <w:pPr>
        <w:pStyle w:val="10"/>
        <w:shd w:val="clear" w:color="auto" w:fill="auto"/>
        <w:tabs>
          <w:tab w:val="left" w:pos="1148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12.4.</w:t>
      </w:r>
      <w:r>
        <w:rPr>
          <w:color w:val="auto"/>
        </w:rPr>
        <w:t xml:space="preserve"> В случае, если в течение 10 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участка, этот участник не представил в уполномоченный орган подписанный им договор,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Кодексом.</w:t>
      </w:r>
    </w:p>
    <w:p w14:paraId="4D094C8D">
      <w:pPr>
        <w:tabs>
          <w:tab w:val="left" w:pos="1148"/>
        </w:tabs>
        <w:spacing w:line="274" w:lineRule="exact"/>
        <w:ind w:firstLine="567"/>
        <w:jc w:val="both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b/>
          <w:bCs/>
          <w:color w:val="auto"/>
          <w:lang w:bidi="ar-SA"/>
        </w:rPr>
        <w:t xml:space="preserve">12.5. </w:t>
      </w:r>
      <w:r>
        <w:rPr>
          <w:rFonts w:ascii="Times New Roman" w:hAnsi="Times New Roman" w:eastAsia="Times New Roman" w:cs="Times New Roman"/>
          <w:color w:val="auto"/>
          <w:lang w:bidi="ar-SA"/>
        </w:rPr>
        <w:t xml:space="preserve">По результатам проведения электронного аукциона договор купли-продажи земельного участка, находящегося в государственной или муниципальной собственности, либо договор аренды такого участка заключается </w:t>
      </w:r>
      <w:r>
        <w:rPr>
          <w:rFonts w:ascii="Times New Roman" w:hAnsi="Times New Roman" w:eastAsia="Times New Roman" w:cs="Times New Roman"/>
          <w:b/>
          <w:bCs/>
          <w:color w:val="auto"/>
          <w:lang w:bidi="ar-SA"/>
        </w:rPr>
        <w:t xml:space="preserve">в электронной форме на государственной информационной системе «Официальный сайт Российской Федерации в информационно-телекоммуникационной сети «Интернет» </w:t>
      </w:r>
      <w:r>
        <w:rPr>
          <w:rFonts w:ascii="Times New Roman" w:hAnsi="Times New Roman" w:eastAsia="Times New Roman" w:cs="Times New Roman"/>
          <w:b/>
          <w:bCs/>
          <w:color w:val="auto"/>
          <w:lang w:bidi="ar-SA"/>
        </w:rPr>
        <w:fldChar w:fldCharType="begin"/>
      </w:r>
      <w:r>
        <w:rPr>
          <w:rFonts w:ascii="Times New Roman" w:hAnsi="Times New Roman" w:eastAsia="Times New Roman" w:cs="Times New Roman"/>
          <w:b/>
          <w:bCs/>
          <w:color w:val="auto"/>
          <w:lang w:bidi="ar-SA"/>
        </w:rPr>
        <w:instrText xml:space="preserve"> HYPERLINK "http://www.torgi.gov.ru," </w:instrText>
      </w:r>
      <w:r>
        <w:rPr>
          <w:rFonts w:ascii="Times New Roman" w:hAnsi="Times New Roman" w:eastAsia="Times New Roman" w:cs="Times New Roman"/>
          <w:b/>
          <w:bCs/>
          <w:color w:val="auto"/>
          <w:lang w:bidi="ar-SA"/>
        </w:rPr>
        <w:fldChar w:fldCharType="separate"/>
      </w:r>
      <w:r>
        <w:rPr>
          <w:rStyle w:val="6"/>
          <w:rFonts w:ascii="Times New Roman" w:hAnsi="Times New Roman" w:eastAsia="Times New Roman" w:cs="Times New Roman"/>
          <w:b/>
          <w:bCs/>
          <w:lang w:bidi="ar-SA"/>
        </w:rPr>
        <w:t>www.torgi.gov.ru</w:t>
      </w:r>
      <w:r>
        <w:rPr>
          <w:rStyle w:val="6"/>
          <w:rFonts w:hint="default" w:ascii="Times New Roman" w:hAnsi="Times New Roman" w:eastAsia="Times New Roman" w:cs="Times New Roman"/>
          <w:b/>
          <w:bCs/>
          <w:lang w:val="ru-RU" w:bidi="ar-SA"/>
        </w:rPr>
        <w:t>,</w:t>
      </w:r>
      <w:r>
        <w:rPr>
          <w:rFonts w:ascii="Times New Roman" w:hAnsi="Times New Roman" w:eastAsia="Times New Roman" w:cs="Times New Roman"/>
          <w:b/>
          <w:bCs/>
          <w:color w:val="auto"/>
          <w:lang w:bidi="ar-SA"/>
        </w:rPr>
        <w:fldChar w:fldCharType="end"/>
      </w:r>
      <w:r>
        <w:rPr>
          <w:rFonts w:hint="default" w:ascii="Times New Roman" w:hAnsi="Times New Roman" w:eastAsia="Times New Roman" w:cs="Times New Roman"/>
          <w:b/>
          <w:bCs/>
          <w:color w:val="auto"/>
          <w:lang w:val="ru-RU" w:bidi="ar-SA"/>
        </w:rPr>
        <w:t xml:space="preserve"> либо РТС-тендер</w:t>
      </w:r>
      <w:r>
        <w:rPr>
          <w:rFonts w:ascii="Times New Roman" w:hAnsi="Times New Roman" w:eastAsia="Times New Roman" w:cs="Times New Roman"/>
          <w:color w:val="auto"/>
          <w:lang w:bidi="ar-SA"/>
        </w:rPr>
        <w:t xml:space="preserve"> и подписывается усиленной квалифицированной электронной подписью сторон такого договора.</w:t>
      </w:r>
    </w:p>
    <w:p w14:paraId="5AF94692">
      <w:pPr>
        <w:pStyle w:val="10"/>
        <w:shd w:val="clear" w:color="auto" w:fill="auto"/>
        <w:tabs>
          <w:tab w:val="left" w:pos="1148"/>
        </w:tabs>
        <w:spacing w:after="0" w:line="274" w:lineRule="exact"/>
        <w:ind w:firstLine="567"/>
        <w:jc w:val="both"/>
        <w:rPr>
          <w:color w:val="auto"/>
          <w:lang w:bidi="ar-SA"/>
        </w:rPr>
      </w:pPr>
      <w:r>
        <w:rPr>
          <w:b/>
          <w:bCs/>
          <w:color w:val="auto"/>
        </w:rPr>
        <w:t>12.6.</w:t>
      </w:r>
      <w:r>
        <w:rPr>
          <w:color w:val="auto"/>
        </w:rPr>
        <w:t xml:space="preserve"> </w:t>
      </w:r>
      <w:r>
        <w:rPr>
          <w:color w:val="auto"/>
          <w:lang w:bidi="ar-SA"/>
        </w:rPr>
        <w:t xml:space="preserve">Сведения о победителях аукционов, уклонившихся от заключения договора купли-продажи или договора аренды земельного участка, являющегося предметом аукциона, и об иных лицах, с которыми указанные договоры заключаются в соответствии с </w:t>
      </w:r>
      <w:r>
        <w:fldChar w:fldCharType="begin"/>
      </w:r>
      <w:r>
        <w:instrText xml:space="preserve"> HYPERLINK "https://login.consultant.ru/link/?req=doc&amp;base=LAW&amp;n=483141&amp;dst=689" </w:instrText>
      </w:r>
      <w:r>
        <w:fldChar w:fldCharType="separate"/>
      </w:r>
      <w:r>
        <w:rPr>
          <w:color w:val="0000FF"/>
          <w:lang w:bidi="ar-SA"/>
        </w:rPr>
        <w:t>пунктом 13</w:t>
      </w:r>
      <w:r>
        <w:rPr>
          <w:color w:val="0000FF"/>
          <w:lang w:bidi="ar-SA"/>
        </w:rPr>
        <w:fldChar w:fldCharType="end"/>
      </w:r>
      <w:r>
        <w:rPr>
          <w:color w:val="auto"/>
          <w:lang w:bidi="ar-SA"/>
        </w:rPr>
        <w:t xml:space="preserve">, </w:t>
      </w:r>
      <w:r>
        <w:fldChar w:fldCharType="begin"/>
      </w:r>
      <w:r>
        <w:instrText xml:space="preserve"> HYPERLINK "https://login.consultant.ru/link/?req=doc&amp;base=LAW&amp;n=483141&amp;dst=2772" </w:instrText>
      </w:r>
      <w:r>
        <w:fldChar w:fldCharType="separate"/>
      </w:r>
      <w:r>
        <w:rPr>
          <w:color w:val="0000FF"/>
          <w:lang w:bidi="ar-SA"/>
        </w:rPr>
        <w:t>14</w:t>
      </w:r>
      <w:r>
        <w:rPr>
          <w:color w:val="0000FF"/>
          <w:lang w:bidi="ar-SA"/>
        </w:rPr>
        <w:fldChar w:fldCharType="end"/>
      </w:r>
      <w:r>
        <w:rPr>
          <w:color w:val="auto"/>
          <w:lang w:bidi="ar-SA"/>
        </w:rPr>
        <w:t xml:space="preserve">, </w:t>
      </w:r>
      <w:r>
        <w:fldChar w:fldCharType="begin"/>
      </w:r>
      <w:r>
        <w:instrText xml:space="preserve"> HYPERLINK "https://login.consultant.ru/link/?req=doc&amp;base=LAW&amp;n=483141&amp;dst=2777" </w:instrText>
      </w:r>
      <w:r>
        <w:fldChar w:fldCharType="separate"/>
      </w:r>
      <w:r>
        <w:rPr>
          <w:color w:val="0000FF"/>
          <w:lang w:bidi="ar-SA"/>
        </w:rPr>
        <w:t>20</w:t>
      </w:r>
      <w:r>
        <w:rPr>
          <w:color w:val="0000FF"/>
          <w:lang w:bidi="ar-SA"/>
        </w:rPr>
        <w:fldChar w:fldCharType="end"/>
      </w:r>
      <w:r>
        <w:rPr>
          <w:color w:val="auto"/>
          <w:lang w:bidi="ar-SA"/>
        </w:rPr>
        <w:t xml:space="preserve"> или </w:t>
      </w:r>
      <w:r>
        <w:fldChar w:fldCharType="begin"/>
      </w:r>
      <w:r>
        <w:instrText xml:space="preserve"> HYPERLINK "https://login.consultant.ru/link/?req=doc&amp;base=LAW&amp;n=483141&amp;dst=2780" </w:instrText>
      </w:r>
      <w:r>
        <w:fldChar w:fldCharType="separate"/>
      </w:r>
      <w:r>
        <w:rPr>
          <w:color w:val="0000FF"/>
          <w:lang w:bidi="ar-SA"/>
        </w:rPr>
        <w:t>25</w:t>
      </w:r>
      <w:r>
        <w:rPr>
          <w:color w:val="0000FF"/>
          <w:lang w:bidi="ar-SA"/>
        </w:rPr>
        <w:fldChar w:fldCharType="end"/>
      </w:r>
      <w:r>
        <w:rPr>
          <w:color w:val="auto"/>
          <w:lang w:bidi="ar-SA"/>
        </w:rPr>
        <w:t xml:space="preserve"> статьи 39.12 Земельного кодекса РФ и которые уклонились от их заключения, включаются в реестр недобросовестных участников аукциона.</w:t>
      </w:r>
    </w:p>
    <w:p w14:paraId="1100C450">
      <w:pPr>
        <w:ind w:firstLine="709"/>
        <w:jc w:val="both"/>
        <w:rPr>
          <w:rFonts w:ascii="Times New Roman" w:hAnsi="Times New Roman" w:eastAsia="Calibri" w:cs="Times New Roman"/>
          <w:lang w:eastAsia="en-US"/>
        </w:rPr>
      </w:pPr>
      <w:r>
        <w:rPr>
          <w:rFonts w:ascii="Times New Roman" w:hAnsi="Times New Roman" w:eastAsia="Calibri" w:cs="Times New Roman"/>
          <w:lang w:eastAsia="en-US"/>
        </w:rPr>
        <w:t>Если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организатору аукцион, организатор аукциона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</w:p>
    <w:p w14:paraId="1763AFDF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 w:eastAsiaTheme="minorHAnsi"/>
          <w:lang w:eastAsia="en-US"/>
        </w:rPr>
      </w:pPr>
      <w:r>
        <w:rPr>
          <w:rFonts w:ascii="Times New Roman" w:hAnsi="Times New Roman" w:cs="Times New Roman" w:eastAsiaTheme="minorHAnsi"/>
          <w:lang w:eastAsia="en-US"/>
        </w:rPr>
        <w:t xml:space="preserve">В случае, если победитель аукциона или иное лицо, с которым договор купли-продажи или договор аренды земельного участка заключается в соответствии с </w:t>
      </w:r>
      <w:r>
        <w:fldChar w:fldCharType="begin"/>
      </w:r>
      <w:r>
        <w:instrText xml:space="preserve"> HYPERLINK "https://login.consultant.ru/link/?req=doc&amp;base=LAW&amp;n=483141&amp;dst=689" </w:instrText>
      </w:r>
      <w:r>
        <w:fldChar w:fldCharType="separate"/>
      </w:r>
      <w:r>
        <w:rPr>
          <w:rFonts w:ascii="Times New Roman" w:hAnsi="Times New Roman" w:cs="Times New Roman" w:eastAsiaTheme="minorHAnsi"/>
          <w:color w:val="0000FF"/>
          <w:lang w:eastAsia="en-US"/>
        </w:rPr>
        <w:t>пунктом 13</w:t>
      </w:r>
      <w:r>
        <w:rPr>
          <w:rFonts w:ascii="Times New Roman" w:hAnsi="Times New Roman" w:cs="Times New Roman" w:eastAsiaTheme="minorHAnsi"/>
          <w:color w:val="0000FF"/>
          <w:lang w:eastAsia="en-US"/>
        </w:rPr>
        <w:fldChar w:fldCharType="end"/>
      </w:r>
      <w:r>
        <w:rPr>
          <w:rFonts w:ascii="Times New Roman" w:hAnsi="Times New Roman" w:cs="Times New Roman" w:eastAsiaTheme="minorHAnsi"/>
          <w:lang w:eastAsia="en-US"/>
        </w:rPr>
        <w:t xml:space="preserve">, </w:t>
      </w:r>
      <w:r>
        <w:fldChar w:fldCharType="begin"/>
      </w:r>
      <w:r>
        <w:instrText xml:space="preserve"> HYPERLINK "https://login.consultant.ru/link/?req=doc&amp;base=LAW&amp;n=483141&amp;dst=2772" </w:instrText>
      </w:r>
      <w:r>
        <w:fldChar w:fldCharType="separate"/>
      </w:r>
      <w:r>
        <w:rPr>
          <w:rFonts w:ascii="Times New Roman" w:hAnsi="Times New Roman" w:cs="Times New Roman" w:eastAsiaTheme="minorHAnsi"/>
          <w:color w:val="0000FF"/>
          <w:lang w:eastAsia="en-US"/>
        </w:rPr>
        <w:t>14</w:t>
      </w:r>
      <w:r>
        <w:rPr>
          <w:rFonts w:ascii="Times New Roman" w:hAnsi="Times New Roman" w:cs="Times New Roman" w:eastAsiaTheme="minorHAnsi"/>
          <w:color w:val="0000FF"/>
          <w:lang w:eastAsia="en-US"/>
        </w:rPr>
        <w:fldChar w:fldCharType="end"/>
      </w:r>
      <w:r>
        <w:rPr>
          <w:rFonts w:ascii="Times New Roman" w:hAnsi="Times New Roman" w:cs="Times New Roman" w:eastAsiaTheme="minorHAnsi"/>
          <w:lang w:eastAsia="en-US"/>
        </w:rPr>
        <w:t xml:space="preserve">, </w:t>
      </w:r>
      <w:r>
        <w:fldChar w:fldCharType="begin"/>
      </w:r>
      <w:r>
        <w:instrText xml:space="preserve"> HYPERLINK "https://login.consultant.ru/link/?req=doc&amp;base=LAW&amp;n=483141&amp;dst=2777" </w:instrText>
      </w:r>
      <w:r>
        <w:fldChar w:fldCharType="separate"/>
      </w:r>
      <w:r>
        <w:rPr>
          <w:rFonts w:ascii="Times New Roman" w:hAnsi="Times New Roman" w:cs="Times New Roman" w:eastAsiaTheme="minorHAnsi"/>
          <w:color w:val="0000FF"/>
          <w:lang w:eastAsia="en-US"/>
        </w:rPr>
        <w:t>20</w:t>
      </w:r>
      <w:r>
        <w:rPr>
          <w:rFonts w:ascii="Times New Roman" w:hAnsi="Times New Roman" w:cs="Times New Roman" w:eastAsiaTheme="minorHAnsi"/>
          <w:color w:val="0000FF"/>
          <w:lang w:eastAsia="en-US"/>
        </w:rPr>
        <w:fldChar w:fldCharType="end"/>
      </w:r>
      <w:r>
        <w:rPr>
          <w:rFonts w:ascii="Times New Roman" w:hAnsi="Times New Roman" w:cs="Times New Roman" w:eastAsiaTheme="minorHAnsi"/>
          <w:lang w:eastAsia="en-US"/>
        </w:rPr>
        <w:t xml:space="preserve"> или </w:t>
      </w:r>
      <w:r>
        <w:fldChar w:fldCharType="begin"/>
      </w:r>
      <w:r>
        <w:instrText xml:space="preserve"> HYPERLINK "https://login.consultant.ru/link/?req=doc&amp;base=LAW&amp;n=483141&amp;dst=2780" </w:instrText>
      </w:r>
      <w:r>
        <w:fldChar w:fldCharType="separate"/>
      </w:r>
      <w:r>
        <w:rPr>
          <w:rFonts w:ascii="Times New Roman" w:hAnsi="Times New Roman" w:cs="Times New Roman" w:eastAsiaTheme="minorHAnsi"/>
          <w:color w:val="0000FF"/>
          <w:lang w:eastAsia="en-US"/>
        </w:rPr>
        <w:t>25</w:t>
      </w:r>
      <w:r>
        <w:rPr>
          <w:rFonts w:ascii="Times New Roman" w:hAnsi="Times New Roman" w:cs="Times New Roman" w:eastAsiaTheme="minorHAnsi"/>
          <w:color w:val="0000FF"/>
          <w:lang w:eastAsia="en-US"/>
        </w:rPr>
        <w:fldChar w:fldCharType="end"/>
      </w:r>
      <w:r>
        <w:rPr>
          <w:rFonts w:ascii="Times New Roman" w:hAnsi="Times New Roman" w:cs="Times New Roman" w:eastAsiaTheme="minorHAnsi"/>
          <w:lang w:eastAsia="en-US"/>
        </w:rPr>
        <w:t xml:space="preserve"> настоящей статьи, в течение десяти рабочих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договоры, уполномоченный орган в течение пяти рабочих дней со дня истечения этого срока направляет сведения, предусмотренные </w:t>
      </w:r>
      <w:r>
        <w:fldChar w:fldCharType="begin"/>
      </w:r>
      <w:r>
        <w:instrText xml:space="preserve"> HYPERLINK "https://login.consultant.ru/link/?req=doc&amp;base=LAW&amp;n=483141&amp;dst=712" </w:instrText>
      </w:r>
      <w:r>
        <w:fldChar w:fldCharType="separate"/>
      </w:r>
      <w:r>
        <w:rPr>
          <w:rFonts w:ascii="Times New Roman" w:hAnsi="Times New Roman" w:cs="Times New Roman" w:eastAsiaTheme="minorHAnsi"/>
          <w:color w:val="0000FF"/>
          <w:lang w:eastAsia="en-US"/>
        </w:rPr>
        <w:t>подпунктами 1</w:t>
      </w:r>
      <w:r>
        <w:rPr>
          <w:rFonts w:ascii="Times New Roman" w:hAnsi="Times New Roman" w:cs="Times New Roman" w:eastAsiaTheme="minorHAnsi"/>
          <w:color w:val="0000FF"/>
          <w:lang w:eastAsia="en-US"/>
        </w:rPr>
        <w:fldChar w:fldCharType="end"/>
      </w:r>
      <w:r>
        <w:rPr>
          <w:rFonts w:ascii="Times New Roman" w:hAnsi="Times New Roman" w:cs="Times New Roman" w:eastAsiaTheme="minorHAnsi"/>
          <w:lang w:eastAsia="en-US"/>
        </w:rPr>
        <w:t xml:space="preserve"> - </w:t>
      </w:r>
      <w:r>
        <w:fldChar w:fldCharType="begin"/>
      </w:r>
      <w:r>
        <w:instrText xml:space="preserve"> HYPERLINK "https://login.consultant.ru/link/?req=doc&amp;base=LAW&amp;n=483141&amp;dst=714" </w:instrText>
      </w:r>
      <w:r>
        <w:fldChar w:fldCharType="separate"/>
      </w:r>
      <w:r>
        <w:rPr>
          <w:rFonts w:ascii="Times New Roman" w:hAnsi="Times New Roman" w:cs="Times New Roman" w:eastAsiaTheme="minorHAnsi"/>
          <w:color w:val="0000FF"/>
          <w:lang w:eastAsia="en-US"/>
        </w:rPr>
        <w:t>3 пункта 29</w:t>
      </w:r>
      <w:r>
        <w:rPr>
          <w:rFonts w:ascii="Times New Roman" w:hAnsi="Times New Roman" w:cs="Times New Roman" w:eastAsiaTheme="minorHAnsi"/>
          <w:color w:val="0000FF"/>
          <w:lang w:eastAsia="en-US"/>
        </w:rPr>
        <w:fldChar w:fldCharType="end"/>
      </w:r>
      <w:r>
        <w:rPr>
          <w:rFonts w:ascii="Times New Roman" w:hAnsi="Times New Roman" w:cs="Times New Roman" w:eastAsiaTheme="minorHAnsi"/>
          <w:lang w:eastAsia="en-US"/>
        </w:rPr>
        <w:t xml:space="preserve"> настоящей статьи,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аукциона.</w:t>
      </w:r>
    </w:p>
    <w:p w14:paraId="193BD8F6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Размер ежегодной арендной платы или размер первого арендного платежа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</w:p>
    <w:p w14:paraId="76D6205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 w:eastAsiaTheme="minorHAnsi"/>
          <w:lang w:eastAsia="en-US"/>
        </w:rPr>
      </w:pPr>
    </w:p>
    <w:p w14:paraId="42EA09C6">
      <w:pPr>
        <w:ind w:firstLine="709"/>
        <w:jc w:val="both"/>
        <w:rPr>
          <w:rFonts w:ascii="Times New Roman" w:hAnsi="Times New Roman" w:eastAsia="Calibri" w:cs="Times New Roman"/>
          <w:b/>
          <w:lang w:eastAsia="en-US"/>
        </w:rPr>
      </w:pPr>
      <w:r>
        <w:rPr>
          <w:rFonts w:ascii="Times New Roman" w:hAnsi="Times New Roman" w:eastAsia="Calibri" w:cs="Times New Roman"/>
          <w:b/>
          <w:lang w:eastAsia="en-US"/>
        </w:rPr>
        <w:t xml:space="preserve">Условия и сроки внесения ежегодной арендной платы: </w:t>
      </w:r>
    </w:p>
    <w:p w14:paraId="0CA21C65">
      <w:pPr>
        <w:ind w:firstLine="709"/>
        <w:jc w:val="both"/>
        <w:rPr>
          <w:rFonts w:ascii="Times New Roman" w:hAnsi="Times New Roman" w:eastAsia="Calibri" w:cs="Times New Roman"/>
          <w:b/>
          <w:lang w:eastAsia="en-US"/>
        </w:rPr>
      </w:pPr>
    </w:p>
    <w:p w14:paraId="2D898226">
      <w:pPr>
        <w:ind w:firstLine="709"/>
        <w:jc w:val="both"/>
        <w:rPr>
          <w:rFonts w:ascii="Times New Roman" w:hAnsi="Times New Roman" w:eastAsia="Calibri" w:cs="Times New Roman"/>
          <w:bCs/>
          <w:lang w:eastAsia="en-US"/>
        </w:rPr>
      </w:pPr>
      <w:r>
        <w:rPr>
          <w:rFonts w:ascii="Times New Roman" w:hAnsi="Times New Roman" w:eastAsia="Calibri" w:cs="Times New Roman"/>
          <w:bCs/>
          <w:lang w:eastAsia="en-US"/>
        </w:rPr>
        <w:t xml:space="preserve">Первый ежегодный арендный платёж, размер которого будет определён по результатам аукциона на право заключения договора аренды земельного участка, перечисляется безналичным расчётом в день подписания победителем аукциона договора аренды. Внесённый задаток засчитывается в счёт арендной платы. </w:t>
      </w:r>
    </w:p>
    <w:p w14:paraId="05411FC8">
      <w:pPr>
        <w:ind w:firstLine="709"/>
        <w:jc w:val="both"/>
        <w:rPr>
          <w:rFonts w:ascii="Times New Roman" w:hAnsi="Times New Roman" w:eastAsia="Calibri" w:cs="Times New Roman"/>
          <w:bCs/>
          <w:lang w:eastAsia="en-US"/>
        </w:rPr>
      </w:pPr>
      <w:r>
        <w:rPr>
          <w:rFonts w:ascii="Times New Roman" w:hAnsi="Times New Roman" w:eastAsia="Calibri" w:cs="Times New Roman"/>
          <w:bCs/>
          <w:lang w:eastAsia="en-US"/>
        </w:rPr>
        <w:t>Последующие ежегодные арендные платежи вносятся победителем аукциона в соответствии с условиями договора аренды.</w:t>
      </w:r>
    </w:p>
    <w:p w14:paraId="5416B08D">
      <w:pPr>
        <w:ind w:firstLine="709"/>
        <w:jc w:val="both"/>
        <w:rPr>
          <w:rFonts w:ascii="Times New Roman" w:hAnsi="Times New Roman" w:eastAsia="Calibri" w:cs="Times New Roman"/>
          <w:bCs/>
          <w:lang w:eastAsia="en-US"/>
        </w:rPr>
      </w:pPr>
      <w:r>
        <w:rPr>
          <w:rFonts w:ascii="Times New Roman" w:hAnsi="Times New Roman" w:eastAsia="Calibri" w:cs="Times New Roman"/>
          <w:bCs/>
          <w:lang w:eastAsia="en-US"/>
        </w:rPr>
        <w:t>В случае расторжения настоящего Договора по соглашению сторон, в том числе в связи с приобретением Участка в собственность, до истечения одного года с момента заключения Договора, первый арендный платеж возврату не подлежит.</w:t>
      </w:r>
    </w:p>
    <w:p w14:paraId="0823666D">
      <w:pPr>
        <w:ind w:firstLine="709"/>
        <w:jc w:val="both"/>
        <w:rPr>
          <w:rFonts w:ascii="Times New Roman" w:hAnsi="Times New Roman" w:eastAsia="Calibri" w:cs="Times New Roman"/>
          <w:bCs/>
          <w:lang w:eastAsia="en-US"/>
        </w:rPr>
      </w:pPr>
    </w:p>
    <w:p w14:paraId="5C718110">
      <w:pPr>
        <w:ind w:firstLine="709"/>
        <w:jc w:val="both"/>
        <w:rPr>
          <w:rFonts w:ascii="Times New Roman" w:hAnsi="Times New Roman" w:eastAsia="Calibri" w:cs="Times New Roman"/>
          <w:b/>
          <w:lang w:eastAsia="en-US"/>
        </w:rPr>
      </w:pPr>
      <w:r>
        <w:rPr>
          <w:rFonts w:ascii="Times New Roman" w:hAnsi="Times New Roman" w:eastAsia="Calibri" w:cs="Times New Roman"/>
          <w:b/>
          <w:lang w:eastAsia="en-US"/>
        </w:rPr>
        <w:t>Иные сведения:</w:t>
      </w:r>
    </w:p>
    <w:p w14:paraId="3742800E">
      <w:pPr>
        <w:ind w:firstLine="709"/>
        <w:jc w:val="both"/>
        <w:rPr>
          <w:rFonts w:ascii="Times New Roman" w:hAnsi="Times New Roman" w:eastAsia="Calibri" w:cs="Times New Roman"/>
          <w:b/>
          <w:lang w:eastAsia="en-US"/>
        </w:rPr>
      </w:pPr>
    </w:p>
    <w:p w14:paraId="0455CB77">
      <w:pPr>
        <w:ind w:firstLine="709"/>
        <w:jc w:val="both"/>
        <w:rPr>
          <w:rFonts w:ascii="Times New Roman" w:hAnsi="Times New Roman" w:eastAsia="Calibri" w:cs="Times New Roman"/>
          <w:lang w:eastAsia="en-US"/>
        </w:rPr>
      </w:pPr>
      <w:r>
        <w:rPr>
          <w:rFonts w:ascii="Times New Roman" w:hAnsi="Times New Roman" w:eastAsia="Calibri" w:cs="Times New Roman"/>
          <w:lang w:eastAsia="en-US"/>
        </w:rPr>
        <w:t>Если аукцион признан несостоявшимся и договор аренды такого земельного участка не заключен с лицом, подавшим единственную заявку на участие в аукционе, с заявителем, признанным единственным участником аукциона, или с единственным принявшим участие в аукционе его участником, начальная цена предмета повторного аукциона может быть определена ниже ранее установленной начальной цены предмета аукциона, но не более чем на тридцать процентов начальной цены предмета предыдущего аукциона.</w:t>
      </w:r>
    </w:p>
    <w:p w14:paraId="1E25F08F">
      <w:pPr>
        <w:ind w:firstLine="709"/>
        <w:jc w:val="both"/>
        <w:rPr>
          <w:rFonts w:ascii="Times New Roman" w:hAnsi="Times New Roman" w:eastAsia="Calibri" w:cs="Times New Roman"/>
          <w:lang w:eastAsia="en-US"/>
        </w:rPr>
      </w:pPr>
      <w:r>
        <w:rPr>
          <w:rFonts w:ascii="Times New Roman" w:hAnsi="Times New Roman" w:eastAsia="Calibri" w:cs="Times New Roman"/>
          <w:lang w:eastAsia="en-US"/>
        </w:rPr>
        <w:t xml:space="preserve">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 При этом срок подачи заявок на участие в аукционе должен быть продлен таким образом, чтобы со дня размещения изменений в извещение о проведении аукциона до дня проведения аукциона такой срок составлял не менее десяти рабочих дней. Информация о внесении изменений в извещение о проведении аукциона размещается на официальном сайте районной администрации - https://altay-ust-koksa.ru, официальном сайте Российской Федерации в сети «Интернет»: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6"/>
          <w:rFonts w:ascii="Times New Roman" w:hAnsi="Times New Roman" w:eastAsia="Calibri" w:cs="Times New Roman"/>
          <w:lang w:eastAsia="en-US"/>
        </w:rPr>
        <w:t>www.torgi.gov.ru</w:t>
      </w:r>
      <w:r>
        <w:rPr>
          <w:rStyle w:val="6"/>
          <w:rFonts w:ascii="Times New Roman" w:hAnsi="Times New Roman" w:eastAsia="Calibri" w:cs="Times New Roman"/>
          <w:lang w:eastAsia="en-US"/>
        </w:rPr>
        <w:fldChar w:fldCharType="end"/>
      </w:r>
      <w:r>
        <w:rPr>
          <w:rFonts w:ascii="Times New Roman" w:hAnsi="Times New Roman" w:eastAsia="Calibri" w:cs="Times New Roman"/>
          <w:lang w:eastAsia="en-US"/>
        </w:rPr>
        <w:t>. Указанное извещение должно быть доступно для ознакомления всем заинтересованным лицам без взимания платы.</w:t>
      </w:r>
    </w:p>
    <w:p w14:paraId="39DCEF50">
      <w:pPr>
        <w:ind w:firstLine="709"/>
        <w:jc w:val="both"/>
        <w:rPr>
          <w:rFonts w:ascii="Times New Roman" w:hAnsi="Times New Roman" w:eastAsia="Calibri" w:cs="Times New Roman"/>
          <w:lang w:eastAsia="en-US"/>
        </w:rPr>
      </w:pPr>
      <w:r>
        <w:rPr>
          <w:rFonts w:ascii="Times New Roman" w:hAnsi="Times New Roman" w:eastAsia="Calibri" w:cs="Times New Roman"/>
          <w:lang w:eastAsia="en-US"/>
        </w:rPr>
        <w:t xml:space="preserve">В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заявок. </w:t>
      </w:r>
    </w:p>
    <w:p w14:paraId="7FC96BA4">
      <w:pPr>
        <w:pStyle w:val="49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Организатор аукциона принимает решение об отказе в проведении аукциона в случае выявления обстоятельств, предусмотренных пунктом 8 ст. 39.11 Земельного кодекса Российской Федерации. Извещение об отказе в проведении аукциона размещается на официальном сайте Российской Федерации в сети «Интернет»: www.torgi.gov.ru и на официальном сайте районной администрации - https://altay-ust-koksa.ru, организатором аукциона,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14:paraId="00575D3D">
      <w:pPr>
        <w:ind w:firstLine="709"/>
        <w:jc w:val="both"/>
        <w:rPr>
          <w:rFonts w:ascii="Times New Roman" w:hAnsi="Times New Roman" w:eastAsia="Times New Roman" w:cs="Times New Roman"/>
          <w:color w:val="auto"/>
        </w:rPr>
      </w:pPr>
      <w:r>
        <w:rPr>
          <w:rFonts w:ascii="Times New Roman" w:hAnsi="Times New Roman" w:eastAsia="Times New Roman" w:cs="Times New Roman"/>
          <w:color w:val="auto"/>
        </w:rPr>
        <w:t>Протокол аукциона размещается на официальном сайте Российской Федерации в информационно-телекоммуникационной сети «Интернет» для размещения информации о проведении торгов (www.torgi.gov.ru), на официальном сайте организатора (https://ust-koksa-altay.ru/) и на электронной торговой площадке, на которой проводился аукцион.</w:t>
      </w:r>
    </w:p>
    <w:p w14:paraId="76585FC3">
      <w:pPr>
        <w:pStyle w:val="12"/>
        <w:keepNext/>
        <w:keepLines/>
        <w:shd w:val="clear" w:color="auto" w:fill="auto"/>
        <w:tabs>
          <w:tab w:val="left" w:pos="3189"/>
        </w:tabs>
        <w:spacing w:before="0" w:after="0" w:line="274" w:lineRule="exact"/>
        <w:jc w:val="left"/>
        <w:rPr>
          <w:b/>
          <w:color w:val="auto"/>
        </w:rPr>
      </w:pPr>
      <w:bookmarkStart w:id="13" w:name="bookmark16"/>
    </w:p>
    <w:bookmarkEnd w:id="13"/>
    <w:p w14:paraId="012C43F9">
      <w:pPr>
        <w:pStyle w:val="40"/>
        <w:tabs>
          <w:tab w:val="left" w:pos="1316"/>
        </w:tabs>
        <w:spacing w:line="274" w:lineRule="exact"/>
        <w:ind w:left="0"/>
        <w:contextualSpacing w:val="0"/>
        <w:jc w:val="both"/>
        <w:rPr>
          <w:rFonts w:ascii="Times New Roman" w:hAnsi="Times New Roman" w:eastAsia="Times New Roman" w:cs="Times New Roman"/>
          <w:vanish/>
          <w:color w:val="auto"/>
        </w:rPr>
      </w:pPr>
    </w:p>
    <w:p w14:paraId="47FD93AB">
      <w:pPr>
        <w:pStyle w:val="1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  <w:rPr>
          <w:b/>
          <w:color w:val="auto"/>
        </w:rPr>
      </w:pPr>
    </w:p>
    <w:p w14:paraId="69A860A4">
      <w:pPr>
        <w:pStyle w:val="12"/>
        <w:keepNext/>
        <w:keepLines/>
        <w:shd w:val="clear" w:color="auto" w:fill="auto"/>
        <w:tabs>
          <w:tab w:val="left" w:pos="1013"/>
        </w:tabs>
        <w:spacing w:before="0" w:after="0" w:line="274" w:lineRule="exact"/>
        <w:ind w:left="600"/>
        <w:rPr>
          <w:b/>
          <w:color w:val="auto"/>
        </w:rPr>
      </w:pPr>
      <w:bookmarkStart w:id="14" w:name="bookmark17"/>
      <w:r>
        <w:rPr>
          <w:b/>
          <w:color w:val="auto"/>
        </w:rPr>
        <w:t>13. Разъяснение положений аукционной документации и внесение изменений</w:t>
      </w:r>
      <w:bookmarkEnd w:id="14"/>
    </w:p>
    <w:p w14:paraId="13D9A16C">
      <w:pPr>
        <w:pStyle w:val="1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</w:p>
    <w:p w14:paraId="682ABB94">
      <w:pPr>
        <w:pStyle w:val="1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</w:rPr>
        <w:t xml:space="preserve">Организатор аукциона обеспечивает размещение аукционной документации на официальных сайтах: </w:t>
      </w:r>
      <w:r>
        <w:fldChar w:fldCharType="begin"/>
      </w:r>
      <w:r>
        <w:instrText xml:space="preserve"> HYPERLINK </w:instrText>
      </w:r>
      <w:r>
        <w:fldChar w:fldCharType="separate"/>
      </w:r>
      <w:r>
        <w:rPr>
          <w:rStyle w:val="6"/>
          <w:color w:val="auto"/>
          <w:u w:val="none"/>
        </w:rPr>
        <w:t xml:space="preserve"> </w:t>
      </w:r>
      <w:r>
        <w:rPr>
          <w:rStyle w:val="6"/>
          <w:color w:val="auto"/>
          <w:u w:val="none"/>
          <w:lang w:val="en-US" w:eastAsia="en-US" w:bidi="en-US"/>
        </w:rPr>
        <w:t>www</w:t>
      </w:r>
      <w:r>
        <w:rPr>
          <w:rStyle w:val="6"/>
          <w:color w:val="auto"/>
          <w:u w:val="none"/>
          <w:lang w:eastAsia="en-US" w:bidi="en-US"/>
        </w:rPr>
        <w:t>.</w:t>
      </w:r>
      <w:r>
        <w:rPr>
          <w:rStyle w:val="6"/>
          <w:color w:val="auto"/>
          <w:u w:val="none"/>
          <w:lang w:val="en-US" w:eastAsia="en-US" w:bidi="en-US"/>
        </w:rPr>
        <w:t>torgi</w:t>
      </w:r>
      <w:r>
        <w:rPr>
          <w:rStyle w:val="6"/>
          <w:color w:val="auto"/>
          <w:u w:val="none"/>
          <w:lang w:eastAsia="en-US" w:bidi="en-US"/>
        </w:rPr>
        <w:t>.</w:t>
      </w:r>
      <w:r>
        <w:rPr>
          <w:rStyle w:val="6"/>
          <w:color w:val="auto"/>
          <w:u w:val="none"/>
          <w:lang w:val="en-US" w:eastAsia="en-US" w:bidi="en-US"/>
        </w:rPr>
        <w:t>gov</w:t>
      </w:r>
      <w:r>
        <w:rPr>
          <w:rStyle w:val="6"/>
          <w:color w:val="auto"/>
          <w:u w:val="none"/>
          <w:lang w:eastAsia="en-US" w:bidi="en-US"/>
        </w:rPr>
        <w:t>.</w:t>
      </w:r>
      <w:r>
        <w:rPr>
          <w:rStyle w:val="6"/>
          <w:color w:val="auto"/>
          <w:u w:val="none"/>
          <w:lang w:val="en-US" w:eastAsia="en-US" w:bidi="en-US"/>
        </w:rPr>
        <w:t>ru</w:t>
      </w:r>
      <w:r>
        <w:rPr>
          <w:rStyle w:val="6"/>
          <w:color w:val="auto"/>
          <w:u w:val="none"/>
          <w:lang w:eastAsia="en-US" w:bidi="en-US"/>
        </w:rPr>
        <w:t xml:space="preserve"> и</w:t>
      </w:r>
      <w:r>
        <w:rPr>
          <w:rStyle w:val="6"/>
          <w:color w:val="auto"/>
          <w:u w:val="none"/>
          <w:lang w:eastAsia="en-US" w:bidi="en-US"/>
        </w:rPr>
        <w:fldChar w:fldCharType="end"/>
      </w:r>
      <w:r>
        <w:rPr>
          <w:color w:val="auto"/>
        </w:rPr>
        <w:t xml:space="preserve"> </w:t>
      </w:r>
      <w:r>
        <w:fldChar w:fldCharType="begin"/>
      </w:r>
      <w:r>
        <w:instrText xml:space="preserve"> HYPERLINK "https://ust-koksa-altay.ru/" </w:instrText>
      </w:r>
      <w:r>
        <w:fldChar w:fldCharType="separate"/>
      </w:r>
      <w:r>
        <w:rPr>
          <w:rStyle w:val="6"/>
          <w:color w:val="auto"/>
          <w:u w:val="none"/>
        </w:rPr>
        <w:t>https://ust-koksa-altay.ru/</w:t>
      </w:r>
      <w:r>
        <w:rPr>
          <w:rStyle w:val="6"/>
          <w:color w:val="auto"/>
          <w:u w:val="none"/>
        </w:rPr>
        <w:fldChar w:fldCharType="end"/>
      </w:r>
      <w:r>
        <w:rPr>
          <w:color w:val="auto"/>
        </w:rPr>
        <w:t>.</w:t>
      </w:r>
    </w:p>
    <w:p w14:paraId="629DA7D1">
      <w:pPr>
        <w:pStyle w:val="1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</w:rPr>
        <w:t>С аукционной документацией, формой заявки на участие в аукционе можно ознакомиться на официальных сайтах:</w:t>
      </w:r>
      <w:r>
        <w:fldChar w:fldCharType="begin"/>
      </w:r>
      <w:r>
        <w:instrText xml:space="preserve"> HYPERLINK </w:instrText>
      </w:r>
      <w:r>
        <w:fldChar w:fldCharType="separate"/>
      </w:r>
      <w:r>
        <w:rPr>
          <w:rStyle w:val="6"/>
          <w:color w:val="auto"/>
          <w:u w:val="none"/>
        </w:rPr>
        <w:t xml:space="preserve"> </w:t>
      </w:r>
      <w:r>
        <w:rPr>
          <w:rStyle w:val="6"/>
          <w:color w:val="auto"/>
          <w:u w:val="none"/>
          <w:lang w:val="en-US" w:eastAsia="en-US" w:bidi="en-US"/>
        </w:rPr>
        <w:t>www</w:t>
      </w:r>
      <w:r>
        <w:rPr>
          <w:rStyle w:val="6"/>
          <w:color w:val="auto"/>
          <w:u w:val="none"/>
          <w:lang w:eastAsia="en-US" w:bidi="en-US"/>
        </w:rPr>
        <w:t>.</w:t>
      </w:r>
      <w:r>
        <w:rPr>
          <w:rStyle w:val="6"/>
          <w:color w:val="auto"/>
          <w:u w:val="none"/>
          <w:lang w:val="en-US" w:eastAsia="en-US" w:bidi="en-US"/>
        </w:rPr>
        <w:t>torgi</w:t>
      </w:r>
      <w:r>
        <w:rPr>
          <w:rStyle w:val="6"/>
          <w:color w:val="auto"/>
          <w:u w:val="none"/>
          <w:lang w:eastAsia="en-US" w:bidi="en-US"/>
        </w:rPr>
        <w:t>.</w:t>
      </w:r>
      <w:r>
        <w:rPr>
          <w:rStyle w:val="6"/>
          <w:color w:val="auto"/>
          <w:u w:val="none"/>
          <w:lang w:val="en-US" w:eastAsia="en-US" w:bidi="en-US"/>
        </w:rPr>
        <w:t>gov</w:t>
      </w:r>
      <w:r>
        <w:rPr>
          <w:rStyle w:val="6"/>
          <w:color w:val="auto"/>
          <w:u w:val="none"/>
          <w:lang w:eastAsia="en-US" w:bidi="en-US"/>
        </w:rPr>
        <w:t>.</w:t>
      </w:r>
      <w:r>
        <w:rPr>
          <w:rStyle w:val="6"/>
          <w:color w:val="auto"/>
          <w:u w:val="none"/>
          <w:lang w:val="en-US" w:eastAsia="en-US" w:bidi="en-US"/>
        </w:rPr>
        <w:t>ru</w:t>
      </w:r>
      <w:r>
        <w:rPr>
          <w:rStyle w:val="6"/>
          <w:color w:val="auto"/>
          <w:u w:val="none"/>
          <w:lang w:eastAsia="en-US" w:bidi="en-US"/>
        </w:rPr>
        <w:t>,</w:t>
      </w:r>
      <w:r>
        <w:rPr>
          <w:rStyle w:val="6"/>
          <w:color w:val="auto"/>
          <w:u w:val="none"/>
          <w:lang w:eastAsia="en-US" w:bidi="en-US"/>
        </w:rPr>
        <w:fldChar w:fldCharType="end"/>
      </w:r>
      <w:r>
        <w:rPr>
          <w:color w:val="auto"/>
        </w:rPr>
        <w:t xml:space="preserve"> </w:t>
      </w:r>
      <w:r>
        <w:fldChar w:fldCharType="begin"/>
      </w:r>
      <w:r>
        <w:instrText xml:space="preserve"> HYPERLINK "https://www.rts-tender.ru/" </w:instrText>
      </w:r>
      <w:r>
        <w:fldChar w:fldCharType="separate"/>
      </w:r>
      <w:r>
        <w:rPr>
          <w:rStyle w:val="6"/>
          <w:color w:val="auto"/>
          <w:u w:val="none"/>
        </w:rPr>
        <w:t>www.rts-tender.ru</w:t>
      </w:r>
      <w:r>
        <w:rPr>
          <w:rStyle w:val="6"/>
          <w:color w:val="auto"/>
          <w:u w:val="none"/>
          <w:lang w:eastAsia="en-US" w:bidi="en-US"/>
        </w:rPr>
        <w:t>,</w:t>
      </w:r>
      <w:r>
        <w:rPr>
          <w:rStyle w:val="6"/>
          <w:color w:val="auto"/>
          <w:u w:val="none"/>
          <w:lang w:eastAsia="en-US" w:bidi="en-US"/>
        </w:rPr>
        <w:fldChar w:fldCharType="end"/>
      </w:r>
      <w:r>
        <w:rPr>
          <w:rStyle w:val="13"/>
          <w:color w:val="auto"/>
          <w:u w:val="none"/>
          <w:lang w:eastAsia="en-US" w:bidi="en-US"/>
        </w:rPr>
        <w:t xml:space="preserve"> </w:t>
      </w:r>
      <w:r>
        <w:fldChar w:fldCharType="begin"/>
      </w:r>
      <w:r>
        <w:instrText xml:space="preserve"> HYPERLINK "https://ust-koksa-altay.ru/" </w:instrText>
      </w:r>
      <w:r>
        <w:fldChar w:fldCharType="separate"/>
      </w:r>
      <w:r>
        <w:rPr>
          <w:rStyle w:val="6"/>
          <w:color w:val="auto"/>
          <w:u w:val="none"/>
        </w:rPr>
        <w:t>https://ust-koksa-altay.ru/</w:t>
      </w:r>
      <w:r>
        <w:rPr>
          <w:rStyle w:val="6"/>
          <w:color w:val="auto"/>
          <w:u w:val="none"/>
        </w:rPr>
        <w:fldChar w:fldCharType="end"/>
      </w:r>
      <w:r>
        <w:rPr>
          <w:color w:val="auto"/>
        </w:rPr>
        <w:t>.</w:t>
      </w:r>
    </w:p>
    <w:p w14:paraId="0AA4FF95">
      <w:pPr>
        <w:pStyle w:val="1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</w:p>
    <w:sectPr>
      <w:headerReference r:id="rId5" w:type="default"/>
      <w:pgSz w:w="11900" w:h="16840"/>
      <w:pgMar w:top="851" w:right="850" w:bottom="568" w:left="1701" w:header="0" w:footer="6" w:gutter="0"/>
      <w:pgNumType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43" w:usb2="00000009" w:usb3="00000000" w:csb0="400001FF" w:csb1="FFFF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CC"/>
    <w:family w:val="swiss"/>
    <w:pitch w:val="default"/>
    <w:sig w:usb0="E0002A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EC12F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206ED6"/>
    <w:multiLevelType w:val="singleLevel"/>
    <w:tmpl w:val="95206ED6"/>
    <w:lvl w:ilvl="0" w:tentative="0">
      <w:start w:val="1"/>
      <w:numFmt w:val="decimal"/>
      <w:suff w:val="space"/>
      <w:lvlText w:val="%1)"/>
      <w:lvlJc w:val="left"/>
    </w:lvl>
  </w:abstractNum>
  <w:abstractNum w:abstractNumId="1">
    <w:nsid w:val="9DDEC31D"/>
    <w:multiLevelType w:val="singleLevel"/>
    <w:tmpl w:val="9DDEC31D"/>
    <w:lvl w:ilvl="0" w:tentative="0">
      <w:start w:val="1"/>
      <w:numFmt w:val="decimal"/>
      <w:suff w:val="space"/>
      <w:lvlText w:val="%1)"/>
      <w:lvlJc w:val="left"/>
    </w:lvl>
  </w:abstractNum>
  <w:abstractNum w:abstractNumId="2">
    <w:nsid w:val="1CF9248F"/>
    <w:multiLevelType w:val="multilevel"/>
    <w:tmpl w:val="1CF9248F"/>
    <w:lvl w:ilvl="0" w:tentative="0">
      <w:start w:val="5"/>
      <w:numFmt w:val="decimal"/>
      <w:lvlText w:val="%1."/>
      <w:lvlJc w:val="left"/>
      <w:pPr>
        <w:ind w:left="360" w:hanging="360"/>
      </w:pPr>
      <w:rPr>
        <w:rFonts w:hint="default" w:eastAsia="Calibri"/>
        <w:b/>
      </w:rPr>
    </w:lvl>
    <w:lvl w:ilvl="1" w:tentative="0">
      <w:start w:val="3"/>
      <w:numFmt w:val="decimal"/>
      <w:lvlText w:val="%1.%2."/>
      <w:lvlJc w:val="left"/>
      <w:pPr>
        <w:ind w:left="360" w:hanging="360"/>
      </w:pPr>
      <w:rPr>
        <w:rFonts w:hint="default" w:eastAsia="Calibri"/>
        <w:b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 w:eastAsia="Calibri"/>
        <w:b/>
      </w:rPr>
    </w:lvl>
    <w:lvl w:ilvl="3" w:tentative="0">
      <w:start w:val="1"/>
      <w:numFmt w:val="decimal"/>
      <w:lvlText w:val="%1.%2.%3.%4."/>
      <w:lvlJc w:val="left"/>
      <w:pPr>
        <w:ind w:left="720" w:hanging="720"/>
      </w:pPr>
      <w:rPr>
        <w:rFonts w:hint="default" w:eastAsia="Calibri"/>
        <w:b/>
      </w:rPr>
    </w:lvl>
    <w:lvl w:ilvl="4" w:tentative="0">
      <w:start w:val="1"/>
      <w:numFmt w:val="decimal"/>
      <w:lvlText w:val="%1.%2.%3.%4.%5."/>
      <w:lvlJc w:val="left"/>
      <w:pPr>
        <w:ind w:left="1080" w:hanging="1080"/>
      </w:pPr>
      <w:rPr>
        <w:rFonts w:hint="default" w:eastAsia="Calibri"/>
        <w:b/>
      </w:rPr>
    </w:lvl>
    <w:lvl w:ilvl="5" w:tentative="0">
      <w:start w:val="1"/>
      <w:numFmt w:val="decimal"/>
      <w:lvlText w:val="%1.%2.%3.%4.%5.%6."/>
      <w:lvlJc w:val="left"/>
      <w:pPr>
        <w:ind w:left="1080" w:hanging="1080"/>
      </w:pPr>
      <w:rPr>
        <w:rFonts w:hint="default" w:eastAsia="Calibri"/>
        <w:b/>
      </w:rPr>
    </w:lvl>
    <w:lvl w:ilvl="6" w:tentative="0">
      <w:start w:val="1"/>
      <w:numFmt w:val="decimal"/>
      <w:lvlText w:val="%1.%2.%3.%4.%5.%6.%7."/>
      <w:lvlJc w:val="left"/>
      <w:pPr>
        <w:ind w:left="1440" w:hanging="1440"/>
      </w:pPr>
      <w:rPr>
        <w:rFonts w:hint="default" w:eastAsia="Calibri"/>
        <w:b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 w:eastAsia="Calibri"/>
        <w:b/>
      </w:rPr>
    </w:lvl>
    <w:lvl w:ilvl="8" w:tentative="0">
      <w:start w:val="1"/>
      <w:numFmt w:val="decimal"/>
      <w:lvlText w:val="%1.%2.%3.%4.%5.%6.%7.%8.%9."/>
      <w:lvlJc w:val="left"/>
      <w:pPr>
        <w:ind w:left="1800" w:hanging="1800"/>
      </w:pPr>
      <w:rPr>
        <w:rFonts w:hint="default" w:eastAsia="Calibri"/>
        <w:b/>
      </w:rPr>
    </w:lvl>
  </w:abstractNum>
  <w:abstractNum w:abstractNumId="3">
    <w:nsid w:val="29892978"/>
    <w:multiLevelType w:val="multilevel"/>
    <w:tmpl w:val="29892978"/>
    <w:lvl w:ilvl="0" w:tentative="0">
      <w:start w:val="7"/>
      <w:numFmt w:val="decimal"/>
      <w:lvlText w:val="%1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 w:tentative="0">
      <w:start w:val="2"/>
      <w:numFmt w:val="decimal"/>
      <w:lvlText w:val="%1.%2."/>
      <w:lvlJc w:val="left"/>
      <w:pPr>
        <w:ind w:left="0" w:firstLine="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 w:tentative="0">
      <w:start w:val="0"/>
      <w:numFmt w:val="decimal"/>
      <w:lvlText w:val=""/>
      <w:lvlJc w:val="left"/>
      <w:pPr>
        <w:ind w:left="0" w:firstLine="0"/>
      </w:pPr>
      <w:rPr>
        <w:rFonts w:hint="default"/>
      </w:rPr>
    </w:lvl>
    <w:lvl w:ilvl="3" w:tentative="0">
      <w:start w:val="0"/>
      <w:numFmt w:val="decimal"/>
      <w:lvlText w:val=""/>
      <w:lvlJc w:val="left"/>
      <w:pPr>
        <w:ind w:left="0" w:firstLine="0"/>
      </w:pPr>
      <w:rPr>
        <w:rFonts w:hint="default"/>
      </w:rPr>
    </w:lvl>
    <w:lvl w:ilvl="4" w:tentative="0">
      <w:start w:val="0"/>
      <w:numFmt w:val="decimal"/>
      <w:lvlText w:val=""/>
      <w:lvlJc w:val="left"/>
      <w:pPr>
        <w:ind w:left="0" w:firstLine="0"/>
      </w:pPr>
      <w:rPr>
        <w:rFonts w:hint="default"/>
      </w:rPr>
    </w:lvl>
    <w:lvl w:ilvl="5" w:tentative="0">
      <w:start w:val="0"/>
      <w:numFmt w:val="decimal"/>
      <w:lvlText w:val=""/>
      <w:lvlJc w:val="left"/>
      <w:pPr>
        <w:ind w:left="0" w:firstLine="0"/>
      </w:pPr>
      <w:rPr>
        <w:rFonts w:hint="default"/>
      </w:rPr>
    </w:lvl>
    <w:lvl w:ilvl="6" w:tentative="0">
      <w:start w:val="0"/>
      <w:numFmt w:val="decimal"/>
      <w:lvlText w:val=""/>
      <w:lvlJc w:val="left"/>
      <w:pPr>
        <w:ind w:left="0" w:firstLine="0"/>
      </w:pPr>
      <w:rPr>
        <w:rFonts w:hint="default"/>
      </w:rPr>
    </w:lvl>
    <w:lvl w:ilvl="7" w:tentative="0">
      <w:start w:val="0"/>
      <w:numFmt w:val="decimal"/>
      <w:lvlText w:val=""/>
      <w:lvlJc w:val="left"/>
      <w:pPr>
        <w:ind w:left="0" w:firstLine="0"/>
      </w:pPr>
      <w:rPr>
        <w:rFonts w:hint="default"/>
      </w:rPr>
    </w:lvl>
    <w:lvl w:ilvl="8" w:tentative="0">
      <w:start w:val="0"/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>
    <w:nsid w:val="33532247"/>
    <w:multiLevelType w:val="multilevel"/>
    <w:tmpl w:val="33532247"/>
    <w:lvl w:ilvl="0" w:tentative="0">
      <w:start w:val="1"/>
      <w:numFmt w:val="decimal"/>
      <w:lvlText w:val="%1)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5">
    <w:nsid w:val="6B487DD2"/>
    <w:multiLevelType w:val="multilevel"/>
    <w:tmpl w:val="6B487DD2"/>
    <w:lvl w:ilvl="0" w:tentative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70D26668"/>
    <w:multiLevelType w:val="multilevel"/>
    <w:tmpl w:val="70D26668"/>
    <w:lvl w:ilvl="0" w:tentative="0">
      <w:start w:val="1"/>
      <w:numFmt w:val="decimal"/>
      <w:lvlText w:val="%1)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7">
    <w:nsid w:val="720204C7"/>
    <w:multiLevelType w:val="multilevel"/>
    <w:tmpl w:val="720204C7"/>
    <w:lvl w:ilvl="0" w:tentative="0">
      <w:start w:val="1"/>
      <w:numFmt w:val="decimal"/>
      <w:lvlText w:val="%1."/>
      <w:lvlJc w:val="left"/>
      <w:rPr>
        <w:rFonts w:ascii="Times New Roman" w:hAnsi="Times New Roman" w:eastAsia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 w:tentative="0">
      <w:start w:val="1"/>
      <w:numFmt w:val="decimal"/>
      <w:lvlText w:val="%1.%2."/>
      <w:lvlJc w:val="left"/>
      <w:rPr>
        <w:rFonts w:ascii="Times New Roman" w:hAnsi="Times New Roman" w:eastAsia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2"/>
  </w:compat>
  <w:rsids>
    <w:rsidRoot w:val="008F3061"/>
    <w:rsid w:val="000209BD"/>
    <w:rsid w:val="000250FF"/>
    <w:rsid w:val="000406FA"/>
    <w:rsid w:val="00043B30"/>
    <w:rsid w:val="00046044"/>
    <w:rsid w:val="0005034F"/>
    <w:rsid w:val="000731C8"/>
    <w:rsid w:val="00092F5E"/>
    <w:rsid w:val="000E1601"/>
    <w:rsid w:val="00100227"/>
    <w:rsid w:val="0010533F"/>
    <w:rsid w:val="00111D84"/>
    <w:rsid w:val="00126197"/>
    <w:rsid w:val="00136B04"/>
    <w:rsid w:val="001404B6"/>
    <w:rsid w:val="00141B44"/>
    <w:rsid w:val="00154DD1"/>
    <w:rsid w:val="0016781F"/>
    <w:rsid w:val="0017623D"/>
    <w:rsid w:val="00181BAC"/>
    <w:rsid w:val="00197202"/>
    <w:rsid w:val="001A610C"/>
    <w:rsid w:val="001B51BE"/>
    <w:rsid w:val="001C18CF"/>
    <w:rsid w:val="001C2C2C"/>
    <w:rsid w:val="001F18EE"/>
    <w:rsid w:val="002375E0"/>
    <w:rsid w:val="0024347E"/>
    <w:rsid w:val="00250E51"/>
    <w:rsid w:val="00251512"/>
    <w:rsid w:val="00286F41"/>
    <w:rsid w:val="00293137"/>
    <w:rsid w:val="00294C91"/>
    <w:rsid w:val="0029540A"/>
    <w:rsid w:val="002A37C4"/>
    <w:rsid w:val="002C2A42"/>
    <w:rsid w:val="002C4A05"/>
    <w:rsid w:val="002E65B8"/>
    <w:rsid w:val="002F0A07"/>
    <w:rsid w:val="002F373A"/>
    <w:rsid w:val="002F6F27"/>
    <w:rsid w:val="003020C4"/>
    <w:rsid w:val="00314F02"/>
    <w:rsid w:val="00321526"/>
    <w:rsid w:val="00321A9F"/>
    <w:rsid w:val="00322EC1"/>
    <w:rsid w:val="003350E4"/>
    <w:rsid w:val="00342010"/>
    <w:rsid w:val="00355377"/>
    <w:rsid w:val="00356F70"/>
    <w:rsid w:val="003621B2"/>
    <w:rsid w:val="003646AF"/>
    <w:rsid w:val="003717A0"/>
    <w:rsid w:val="00377211"/>
    <w:rsid w:val="0038731A"/>
    <w:rsid w:val="003A6A1E"/>
    <w:rsid w:val="003B4B47"/>
    <w:rsid w:val="003C2799"/>
    <w:rsid w:val="003D0993"/>
    <w:rsid w:val="003F2387"/>
    <w:rsid w:val="003F357D"/>
    <w:rsid w:val="00401EF5"/>
    <w:rsid w:val="00410F08"/>
    <w:rsid w:val="00416287"/>
    <w:rsid w:val="00437B00"/>
    <w:rsid w:val="004464FF"/>
    <w:rsid w:val="00463A45"/>
    <w:rsid w:val="004673D7"/>
    <w:rsid w:val="00483985"/>
    <w:rsid w:val="004E6260"/>
    <w:rsid w:val="004F01CC"/>
    <w:rsid w:val="004F3C19"/>
    <w:rsid w:val="004F7ABA"/>
    <w:rsid w:val="0050122E"/>
    <w:rsid w:val="005044BD"/>
    <w:rsid w:val="005126BF"/>
    <w:rsid w:val="0051619F"/>
    <w:rsid w:val="005616B9"/>
    <w:rsid w:val="00561FDA"/>
    <w:rsid w:val="00563191"/>
    <w:rsid w:val="0059548F"/>
    <w:rsid w:val="005A0129"/>
    <w:rsid w:val="005A1209"/>
    <w:rsid w:val="005A15FD"/>
    <w:rsid w:val="005A37E8"/>
    <w:rsid w:val="005A5971"/>
    <w:rsid w:val="005B0F15"/>
    <w:rsid w:val="005B2A18"/>
    <w:rsid w:val="005C4507"/>
    <w:rsid w:val="005E6EE0"/>
    <w:rsid w:val="00602A49"/>
    <w:rsid w:val="006036AB"/>
    <w:rsid w:val="006041A3"/>
    <w:rsid w:val="0062086E"/>
    <w:rsid w:val="00647ED9"/>
    <w:rsid w:val="00650517"/>
    <w:rsid w:val="00653151"/>
    <w:rsid w:val="006539A5"/>
    <w:rsid w:val="00657E4F"/>
    <w:rsid w:val="006813E0"/>
    <w:rsid w:val="00693B1B"/>
    <w:rsid w:val="006A1D8E"/>
    <w:rsid w:val="006B0783"/>
    <w:rsid w:val="006B21AD"/>
    <w:rsid w:val="006B71A5"/>
    <w:rsid w:val="006B797E"/>
    <w:rsid w:val="006C3B8E"/>
    <w:rsid w:val="006C5EF4"/>
    <w:rsid w:val="006D1621"/>
    <w:rsid w:val="00704F29"/>
    <w:rsid w:val="007072F6"/>
    <w:rsid w:val="00711178"/>
    <w:rsid w:val="00717C41"/>
    <w:rsid w:val="00723000"/>
    <w:rsid w:val="00734043"/>
    <w:rsid w:val="00752615"/>
    <w:rsid w:val="00753711"/>
    <w:rsid w:val="00754F2E"/>
    <w:rsid w:val="0079774A"/>
    <w:rsid w:val="007A2C91"/>
    <w:rsid w:val="007D1605"/>
    <w:rsid w:val="007E01FA"/>
    <w:rsid w:val="007E2F73"/>
    <w:rsid w:val="007E6655"/>
    <w:rsid w:val="007E7EA9"/>
    <w:rsid w:val="007F2FEE"/>
    <w:rsid w:val="00811A17"/>
    <w:rsid w:val="00812443"/>
    <w:rsid w:val="00813675"/>
    <w:rsid w:val="00822994"/>
    <w:rsid w:val="008255A8"/>
    <w:rsid w:val="00826BDD"/>
    <w:rsid w:val="008318B3"/>
    <w:rsid w:val="008414CF"/>
    <w:rsid w:val="00852FED"/>
    <w:rsid w:val="0085582B"/>
    <w:rsid w:val="00867A6D"/>
    <w:rsid w:val="0087203C"/>
    <w:rsid w:val="00875922"/>
    <w:rsid w:val="00881C22"/>
    <w:rsid w:val="008939DD"/>
    <w:rsid w:val="00896697"/>
    <w:rsid w:val="008B3F5F"/>
    <w:rsid w:val="008C4AA3"/>
    <w:rsid w:val="008D0930"/>
    <w:rsid w:val="008D175F"/>
    <w:rsid w:val="008E6AA1"/>
    <w:rsid w:val="008F3061"/>
    <w:rsid w:val="008F6220"/>
    <w:rsid w:val="00903F89"/>
    <w:rsid w:val="009112D6"/>
    <w:rsid w:val="00922554"/>
    <w:rsid w:val="0092577C"/>
    <w:rsid w:val="0093766A"/>
    <w:rsid w:val="009457E1"/>
    <w:rsid w:val="00950E0C"/>
    <w:rsid w:val="00951BBB"/>
    <w:rsid w:val="00963E14"/>
    <w:rsid w:val="00963FF8"/>
    <w:rsid w:val="00980DCD"/>
    <w:rsid w:val="00982379"/>
    <w:rsid w:val="00984F69"/>
    <w:rsid w:val="009A7B8F"/>
    <w:rsid w:val="009B25A2"/>
    <w:rsid w:val="009D6C5F"/>
    <w:rsid w:val="009E086E"/>
    <w:rsid w:val="00A037C2"/>
    <w:rsid w:val="00A04AFC"/>
    <w:rsid w:val="00A06F36"/>
    <w:rsid w:val="00A11985"/>
    <w:rsid w:val="00A1335C"/>
    <w:rsid w:val="00A14E1C"/>
    <w:rsid w:val="00A45CDD"/>
    <w:rsid w:val="00A52910"/>
    <w:rsid w:val="00A5576C"/>
    <w:rsid w:val="00A61738"/>
    <w:rsid w:val="00A7185E"/>
    <w:rsid w:val="00A83363"/>
    <w:rsid w:val="00A90030"/>
    <w:rsid w:val="00A91008"/>
    <w:rsid w:val="00A92131"/>
    <w:rsid w:val="00A9582E"/>
    <w:rsid w:val="00AB7F66"/>
    <w:rsid w:val="00AC7B6B"/>
    <w:rsid w:val="00AD1B78"/>
    <w:rsid w:val="00AD3E3B"/>
    <w:rsid w:val="00AD7C4A"/>
    <w:rsid w:val="00AE36F3"/>
    <w:rsid w:val="00AE6342"/>
    <w:rsid w:val="00B00FF2"/>
    <w:rsid w:val="00B046AD"/>
    <w:rsid w:val="00B06671"/>
    <w:rsid w:val="00B11213"/>
    <w:rsid w:val="00B17C72"/>
    <w:rsid w:val="00B345C3"/>
    <w:rsid w:val="00B34B91"/>
    <w:rsid w:val="00B55A2A"/>
    <w:rsid w:val="00B80BB7"/>
    <w:rsid w:val="00B81ADB"/>
    <w:rsid w:val="00B82CED"/>
    <w:rsid w:val="00B94C67"/>
    <w:rsid w:val="00BB293F"/>
    <w:rsid w:val="00BB3597"/>
    <w:rsid w:val="00BC6717"/>
    <w:rsid w:val="00BE22C4"/>
    <w:rsid w:val="00BE57FE"/>
    <w:rsid w:val="00C023E2"/>
    <w:rsid w:val="00C04403"/>
    <w:rsid w:val="00C07625"/>
    <w:rsid w:val="00C111D2"/>
    <w:rsid w:val="00C15FC1"/>
    <w:rsid w:val="00C3356F"/>
    <w:rsid w:val="00C52DC8"/>
    <w:rsid w:val="00C711E6"/>
    <w:rsid w:val="00C72307"/>
    <w:rsid w:val="00C7462C"/>
    <w:rsid w:val="00C800D4"/>
    <w:rsid w:val="00C83F16"/>
    <w:rsid w:val="00C8414A"/>
    <w:rsid w:val="00C87140"/>
    <w:rsid w:val="00C8733B"/>
    <w:rsid w:val="00CA70AE"/>
    <w:rsid w:val="00CC30BE"/>
    <w:rsid w:val="00CE08A8"/>
    <w:rsid w:val="00CE19D9"/>
    <w:rsid w:val="00CE70AB"/>
    <w:rsid w:val="00CE7406"/>
    <w:rsid w:val="00CF0EF3"/>
    <w:rsid w:val="00D0270B"/>
    <w:rsid w:val="00D14832"/>
    <w:rsid w:val="00D23717"/>
    <w:rsid w:val="00D37B21"/>
    <w:rsid w:val="00D50E62"/>
    <w:rsid w:val="00D53CF9"/>
    <w:rsid w:val="00D85963"/>
    <w:rsid w:val="00D940AA"/>
    <w:rsid w:val="00DA176E"/>
    <w:rsid w:val="00DA3533"/>
    <w:rsid w:val="00DB3819"/>
    <w:rsid w:val="00DC38FC"/>
    <w:rsid w:val="00DE379B"/>
    <w:rsid w:val="00DE66A9"/>
    <w:rsid w:val="00DF04CE"/>
    <w:rsid w:val="00E02F37"/>
    <w:rsid w:val="00E138B5"/>
    <w:rsid w:val="00E208A5"/>
    <w:rsid w:val="00E56B9E"/>
    <w:rsid w:val="00E702F2"/>
    <w:rsid w:val="00E7086B"/>
    <w:rsid w:val="00E75929"/>
    <w:rsid w:val="00EA244C"/>
    <w:rsid w:val="00ED4558"/>
    <w:rsid w:val="00ED5F04"/>
    <w:rsid w:val="00EF4F8E"/>
    <w:rsid w:val="00F07686"/>
    <w:rsid w:val="00F24EBF"/>
    <w:rsid w:val="00F42999"/>
    <w:rsid w:val="00F545EA"/>
    <w:rsid w:val="00F55C72"/>
    <w:rsid w:val="00F61A87"/>
    <w:rsid w:val="00F81CF3"/>
    <w:rsid w:val="00F82FD8"/>
    <w:rsid w:val="00F84ED5"/>
    <w:rsid w:val="00F976C4"/>
    <w:rsid w:val="00FA1C16"/>
    <w:rsid w:val="00FC3022"/>
    <w:rsid w:val="00FD1AAE"/>
    <w:rsid w:val="00FD7982"/>
    <w:rsid w:val="00FE1CDE"/>
    <w:rsid w:val="0EFF09AB"/>
    <w:rsid w:val="17F341DA"/>
    <w:rsid w:val="1B042BF6"/>
    <w:rsid w:val="1C906294"/>
    <w:rsid w:val="1F942298"/>
    <w:rsid w:val="2A0C5BFF"/>
    <w:rsid w:val="317578C7"/>
    <w:rsid w:val="3554618D"/>
    <w:rsid w:val="38206490"/>
    <w:rsid w:val="383516E0"/>
    <w:rsid w:val="428F3F37"/>
    <w:rsid w:val="43B84329"/>
    <w:rsid w:val="6D8256D1"/>
    <w:rsid w:val="73236F21"/>
    <w:rsid w:val="732B2C8C"/>
    <w:rsid w:val="74102D99"/>
    <w:rsid w:val="78E23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 Unicode MS" w:hAnsi="Arial Unicode MS" w:eastAsia="Arial Unicode MS" w:cs="Arial Unicode MS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uiPriority w:val="0"/>
    <w:pPr>
      <w:widowControl w:val="0"/>
    </w:pPr>
    <w:rPr>
      <w:rFonts w:ascii="Arial Unicode MS" w:hAnsi="Arial Unicode MS" w:eastAsia="Arial Unicode MS" w:cs="Arial Unicode MS"/>
      <w:color w:val="000000"/>
      <w:sz w:val="24"/>
      <w:szCs w:val="24"/>
      <w:lang w:val="ru-RU" w:eastAsia="ru-RU" w:bidi="ru-RU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semiHidden/>
    <w:unhideWhenUsed/>
    <w:qFormat/>
    <w:uiPriority w:val="99"/>
    <w:rPr>
      <w:color w:val="800080" w:themeColor="followedHyperlink"/>
      <w:u w:val="single"/>
    </w:rPr>
  </w:style>
  <w:style w:type="character" w:styleId="5">
    <w:name w:val="Emphasis"/>
    <w:basedOn w:val="2"/>
    <w:qFormat/>
    <w:uiPriority w:val="20"/>
    <w:rPr>
      <w:i/>
      <w:iCs/>
    </w:rPr>
  </w:style>
  <w:style w:type="character" w:styleId="6">
    <w:name w:val="Hyperlink"/>
    <w:basedOn w:val="2"/>
    <w:qFormat/>
    <w:uiPriority w:val="0"/>
    <w:rPr>
      <w:color w:val="0066CC"/>
      <w:u w:val="single"/>
    </w:rPr>
  </w:style>
  <w:style w:type="paragraph" w:styleId="7">
    <w:name w:val="Balloon Text"/>
    <w:basedOn w:val="1"/>
    <w:link w:val="41"/>
    <w:semiHidden/>
    <w:qFormat/>
    <w:uiPriority w:val="0"/>
    <w:pPr>
      <w:widowControl/>
    </w:pPr>
    <w:rPr>
      <w:rFonts w:ascii="Tahoma" w:hAnsi="Tahoma" w:eastAsia="SimSun" w:cs="Tahoma"/>
      <w:color w:val="auto"/>
      <w:sz w:val="16"/>
      <w:szCs w:val="16"/>
      <w:lang w:eastAsia="zh-CN" w:bidi="ar-SA"/>
    </w:rPr>
  </w:style>
  <w:style w:type="paragraph" w:styleId="8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</w:pPr>
    <w:rPr>
      <w:rFonts w:ascii="Times New Roman" w:hAnsi="Times New Roman" w:eastAsia="Times New Roman" w:cs="Times New Roman"/>
      <w:color w:val="auto"/>
      <w:lang w:bidi="ar-SA"/>
    </w:rPr>
  </w:style>
  <w:style w:type="character" w:customStyle="1" w:styleId="9">
    <w:name w:val="Основной текст (2)_"/>
    <w:basedOn w:val="2"/>
    <w:link w:val="10"/>
    <w:qFormat/>
    <w:uiPriority w:val="0"/>
    <w:rPr>
      <w:rFonts w:ascii="Times New Roman" w:hAnsi="Times New Roman" w:eastAsia="Times New Roman" w:cs="Times New Roman"/>
      <w:u w:val="none"/>
    </w:rPr>
  </w:style>
  <w:style w:type="paragraph" w:customStyle="1" w:styleId="10">
    <w:name w:val="Основной текст (2)4"/>
    <w:basedOn w:val="1"/>
    <w:link w:val="9"/>
    <w:uiPriority w:val="0"/>
    <w:pPr>
      <w:shd w:val="clear" w:color="auto" w:fill="FFFFFF"/>
      <w:spacing w:after="60" w:line="0" w:lineRule="atLeast"/>
      <w:ind w:hanging="1620"/>
      <w:jc w:val="right"/>
    </w:pPr>
    <w:rPr>
      <w:rFonts w:ascii="Times New Roman" w:hAnsi="Times New Roman" w:eastAsia="Times New Roman" w:cs="Times New Roman"/>
    </w:rPr>
  </w:style>
  <w:style w:type="character" w:customStyle="1" w:styleId="11">
    <w:name w:val="Заголовок №1_"/>
    <w:basedOn w:val="2"/>
    <w:link w:val="12"/>
    <w:uiPriority w:val="0"/>
    <w:rPr>
      <w:rFonts w:ascii="Times New Roman" w:hAnsi="Times New Roman" w:eastAsia="Times New Roman" w:cs="Times New Roman"/>
      <w:u w:val="none"/>
    </w:rPr>
  </w:style>
  <w:style w:type="paragraph" w:customStyle="1" w:styleId="12">
    <w:name w:val="Заголовок №1"/>
    <w:basedOn w:val="1"/>
    <w:link w:val="11"/>
    <w:uiPriority w:val="0"/>
    <w:pPr>
      <w:shd w:val="clear" w:color="auto" w:fill="FFFFFF"/>
      <w:spacing w:before="1200" w:after="360" w:line="0" w:lineRule="atLeast"/>
      <w:jc w:val="center"/>
      <w:outlineLvl w:val="0"/>
    </w:pPr>
    <w:rPr>
      <w:rFonts w:ascii="Times New Roman" w:hAnsi="Times New Roman" w:eastAsia="Times New Roman" w:cs="Times New Roman"/>
    </w:rPr>
  </w:style>
  <w:style w:type="character" w:customStyle="1" w:styleId="13">
    <w:name w:val="Основной текст (2)"/>
    <w:basedOn w:val="9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14">
    <w:name w:val="Основной текст (2)1"/>
    <w:basedOn w:val="9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15">
    <w:name w:val="Основной текст (2)2"/>
    <w:basedOn w:val="9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6">
    <w:name w:val="Основной текст (3)_"/>
    <w:basedOn w:val="2"/>
    <w:link w:val="17"/>
    <w:uiPriority w:val="0"/>
    <w:rPr>
      <w:rFonts w:ascii="Times New Roman" w:hAnsi="Times New Roman" w:eastAsia="Times New Roman" w:cs="Times New Roman"/>
      <w:sz w:val="22"/>
      <w:szCs w:val="22"/>
      <w:u w:val="none"/>
    </w:rPr>
  </w:style>
  <w:style w:type="paragraph" w:customStyle="1" w:styleId="17">
    <w:name w:val="Основной текст (3)2"/>
    <w:basedOn w:val="1"/>
    <w:link w:val="16"/>
    <w:uiPriority w:val="0"/>
    <w:pPr>
      <w:shd w:val="clear" w:color="auto" w:fill="FFFFFF"/>
      <w:spacing w:line="254" w:lineRule="exact"/>
      <w:jc w:val="center"/>
    </w:pPr>
    <w:rPr>
      <w:rFonts w:ascii="Times New Roman" w:hAnsi="Times New Roman" w:eastAsia="Times New Roman" w:cs="Times New Roman"/>
      <w:sz w:val="22"/>
      <w:szCs w:val="22"/>
    </w:rPr>
  </w:style>
  <w:style w:type="character" w:customStyle="1" w:styleId="18">
    <w:name w:val="Колонтитул_"/>
    <w:basedOn w:val="2"/>
    <w:link w:val="19"/>
    <w:uiPriority w:val="0"/>
    <w:rPr>
      <w:rFonts w:ascii="Times New Roman" w:hAnsi="Times New Roman" w:eastAsia="Times New Roman" w:cs="Times New Roman"/>
      <w:i/>
      <w:iCs/>
      <w:sz w:val="22"/>
      <w:szCs w:val="22"/>
      <w:u w:val="none"/>
    </w:rPr>
  </w:style>
  <w:style w:type="paragraph" w:customStyle="1" w:styleId="19">
    <w:name w:val="Колонтитул1"/>
    <w:basedOn w:val="1"/>
    <w:link w:val="18"/>
    <w:uiPriority w:val="0"/>
    <w:pPr>
      <w:shd w:val="clear" w:color="auto" w:fill="FFFFFF"/>
      <w:spacing w:line="0" w:lineRule="atLeast"/>
    </w:pPr>
    <w:rPr>
      <w:rFonts w:ascii="Times New Roman" w:hAnsi="Times New Roman" w:eastAsia="Times New Roman" w:cs="Times New Roman"/>
      <w:i/>
      <w:iCs/>
      <w:sz w:val="22"/>
      <w:szCs w:val="22"/>
    </w:rPr>
  </w:style>
  <w:style w:type="character" w:customStyle="1" w:styleId="20">
    <w:name w:val="Колонтитул"/>
    <w:basedOn w:val="18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">
    <w:name w:val="Основной текст (4)_"/>
    <w:basedOn w:val="2"/>
    <w:link w:val="22"/>
    <w:uiPriority w:val="0"/>
    <w:rPr>
      <w:rFonts w:ascii="Times New Roman" w:hAnsi="Times New Roman" w:eastAsia="Times New Roman" w:cs="Times New Roman"/>
      <w:b/>
      <w:bCs/>
      <w:sz w:val="22"/>
      <w:szCs w:val="22"/>
      <w:u w:val="none"/>
    </w:rPr>
  </w:style>
  <w:style w:type="paragraph" w:customStyle="1" w:styleId="22">
    <w:name w:val="Основной текст (4)"/>
    <w:basedOn w:val="1"/>
    <w:link w:val="21"/>
    <w:uiPriority w:val="0"/>
    <w:pPr>
      <w:shd w:val="clear" w:color="auto" w:fill="FFFFFF"/>
      <w:spacing w:before="240" w:after="60" w:line="0" w:lineRule="atLeast"/>
      <w:jc w:val="center"/>
    </w:pPr>
    <w:rPr>
      <w:rFonts w:ascii="Times New Roman" w:hAnsi="Times New Roman" w:eastAsia="Times New Roman" w:cs="Times New Roman"/>
      <w:b/>
      <w:bCs/>
      <w:sz w:val="22"/>
      <w:szCs w:val="22"/>
    </w:rPr>
  </w:style>
  <w:style w:type="character" w:customStyle="1" w:styleId="23">
    <w:name w:val="Основной текст (5)_"/>
    <w:basedOn w:val="2"/>
    <w:link w:val="24"/>
    <w:uiPriority w:val="0"/>
    <w:rPr>
      <w:rFonts w:ascii="Times New Roman" w:hAnsi="Times New Roman" w:eastAsia="Times New Roman" w:cs="Times New Roman"/>
      <w:i/>
      <w:iCs/>
      <w:u w:val="none"/>
    </w:rPr>
  </w:style>
  <w:style w:type="paragraph" w:customStyle="1" w:styleId="24">
    <w:name w:val="Основной текст (5)1"/>
    <w:basedOn w:val="1"/>
    <w:link w:val="23"/>
    <w:uiPriority w:val="0"/>
    <w:pPr>
      <w:shd w:val="clear" w:color="auto" w:fill="FFFFFF"/>
      <w:spacing w:before="420" w:after="240" w:line="0" w:lineRule="atLeast"/>
      <w:jc w:val="center"/>
    </w:pPr>
    <w:rPr>
      <w:rFonts w:ascii="Times New Roman" w:hAnsi="Times New Roman" w:eastAsia="Times New Roman" w:cs="Times New Roman"/>
      <w:i/>
      <w:iCs/>
    </w:rPr>
  </w:style>
  <w:style w:type="character" w:customStyle="1" w:styleId="25">
    <w:name w:val="Основной текст (3)"/>
    <w:basedOn w:val="16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26">
    <w:name w:val="Основной текст (3)1"/>
    <w:basedOn w:val="16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7">
    <w:name w:val="Основной текст (3) + Полужирный"/>
    <w:basedOn w:val="16"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8">
    <w:name w:val="Основной текст (6)_"/>
    <w:basedOn w:val="2"/>
    <w:link w:val="29"/>
    <w:uiPriority w:val="0"/>
    <w:rPr>
      <w:rFonts w:ascii="Times New Roman" w:hAnsi="Times New Roman" w:eastAsia="Times New Roman" w:cs="Times New Roman"/>
      <w:i/>
      <w:iCs/>
      <w:sz w:val="22"/>
      <w:szCs w:val="22"/>
      <w:u w:val="none"/>
    </w:rPr>
  </w:style>
  <w:style w:type="paragraph" w:customStyle="1" w:styleId="29">
    <w:name w:val="Основной текст (6)1"/>
    <w:basedOn w:val="1"/>
    <w:link w:val="28"/>
    <w:qFormat/>
    <w:uiPriority w:val="0"/>
    <w:pPr>
      <w:shd w:val="clear" w:color="auto" w:fill="FFFFFF"/>
      <w:spacing w:before="840" w:line="293" w:lineRule="exact"/>
      <w:jc w:val="center"/>
    </w:pPr>
    <w:rPr>
      <w:rFonts w:ascii="Times New Roman" w:hAnsi="Times New Roman" w:eastAsia="Times New Roman" w:cs="Times New Roman"/>
      <w:i/>
      <w:iCs/>
      <w:sz w:val="22"/>
      <w:szCs w:val="22"/>
    </w:rPr>
  </w:style>
  <w:style w:type="character" w:customStyle="1" w:styleId="30">
    <w:name w:val="Основной текст (6)"/>
    <w:basedOn w:val="28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1">
    <w:name w:val="Основной текст (6) + Lucida Sans Unicode;6 pt;Не курсив"/>
    <w:basedOn w:val="28"/>
    <w:uiPriority w:val="0"/>
    <w:rPr>
      <w:rFonts w:ascii="Lucida Sans Unicode" w:hAnsi="Lucida Sans Unicode" w:eastAsia="Lucida Sans Unicode" w:cs="Lucida Sans Unicode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32">
    <w:name w:val="Основной текст (7)_"/>
    <w:basedOn w:val="2"/>
    <w:link w:val="33"/>
    <w:uiPriority w:val="0"/>
    <w:rPr>
      <w:rFonts w:ascii="Times New Roman" w:hAnsi="Times New Roman" w:eastAsia="Times New Roman" w:cs="Times New Roman"/>
      <w:i/>
      <w:iCs/>
      <w:sz w:val="20"/>
      <w:szCs w:val="20"/>
      <w:u w:val="none"/>
    </w:rPr>
  </w:style>
  <w:style w:type="paragraph" w:customStyle="1" w:styleId="33">
    <w:name w:val="Основной текст (7)"/>
    <w:basedOn w:val="1"/>
    <w:link w:val="32"/>
    <w:qFormat/>
    <w:uiPriority w:val="0"/>
    <w:pPr>
      <w:shd w:val="clear" w:color="auto" w:fill="FFFFFF"/>
      <w:spacing w:before="300" w:after="300" w:line="0" w:lineRule="atLeast"/>
    </w:pPr>
    <w:rPr>
      <w:rFonts w:ascii="Times New Roman" w:hAnsi="Times New Roman" w:eastAsia="Times New Roman" w:cs="Times New Roman"/>
      <w:i/>
      <w:iCs/>
      <w:sz w:val="20"/>
      <w:szCs w:val="20"/>
    </w:rPr>
  </w:style>
  <w:style w:type="character" w:customStyle="1" w:styleId="34">
    <w:name w:val="Подпись к таблице_"/>
    <w:basedOn w:val="2"/>
    <w:link w:val="35"/>
    <w:uiPriority w:val="0"/>
    <w:rPr>
      <w:rFonts w:ascii="Times New Roman" w:hAnsi="Times New Roman" w:eastAsia="Times New Roman" w:cs="Times New Roman"/>
      <w:u w:val="none"/>
    </w:rPr>
  </w:style>
  <w:style w:type="paragraph" w:customStyle="1" w:styleId="35">
    <w:name w:val="Подпись к таблице"/>
    <w:basedOn w:val="1"/>
    <w:link w:val="34"/>
    <w:qFormat/>
    <w:uiPriority w:val="0"/>
    <w:pPr>
      <w:shd w:val="clear" w:color="auto" w:fill="FFFFFF"/>
      <w:spacing w:line="0" w:lineRule="atLeast"/>
    </w:pPr>
    <w:rPr>
      <w:rFonts w:ascii="Times New Roman" w:hAnsi="Times New Roman" w:eastAsia="Times New Roman" w:cs="Times New Roman"/>
    </w:rPr>
  </w:style>
  <w:style w:type="character" w:customStyle="1" w:styleId="36">
    <w:name w:val="Основной текст (2)3"/>
    <w:basedOn w:val="9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7">
    <w:name w:val="Основной текст (2) + Курсив"/>
    <w:basedOn w:val="9"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8">
    <w:name w:val="Основной текст (5) + Не курсив"/>
    <w:basedOn w:val="23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9">
    <w:name w:val="Основной текст (5)"/>
    <w:basedOn w:val="23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styleId="40">
    <w:name w:val="List Paragraph"/>
    <w:basedOn w:val="1"/>
    <w:qFormat/>
    <w:uiPriority w:val="34"/>
    <w:pPr>
      <w:ind w:left="720"/>
      <w:contextualSpacing/>
    </w:pPr>
  </w:style>
  <w:style w:type="character" w:customStyle="1" w:styleId="41">
    <w:name w:val="Текст выноски Знак"/>
    <w:basedOn w:val="2"/>
    <w:link w:val="7"/>
    <w:semiHidden/>
    <w:qFormat/>
    <w:uiPriority w:val="0"/>
    <w:rPr>
      <w:rFonts w:ascii="Tahoma" w:hAnsi="Tahoma" w:eastAsia="SimSun" w:cs="Tahoma"/>
      <w:sz w:val="16"/>
      <w:szCs w:val="16"/>
      <w:lang w:eastAsia="zh-CN" w:bidi="ar-SA"/>
    </w:rPr>
  </w:style>
  <w:style w:type="character" w:customStyle="1" w:styleId="42">
    <w:name w:val="ConsPlusNormal Знак"/>
    <w:link w:val="43"/>
    <w:qFormat/>
    <w:locked/>
    <w:uiPriority w:val="0"/>
    <w:rPr>
      <w:rFonts w:ascii="Arial" w:hAnsi="Arial" w:eastAsia="Times New Roman" w:cs="Arial"/>
      <w:sz w:val="20"/>
      <w:szCs w:val="20"/>
    </w:rPr>
  </w:style>
  <w:style w:type="paragraph" w:customStyle="1" w:styleId="43">
    <w:name w:val="ConsPlusNormal"/>
    <w:link w:val="42"/>
    <w:qFormat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sz w:val="20"/>
      <w:szCs w:val="20"/>
      <w:lang w:val="ru-RU" w:eastAsia="ru-RU" w:bidi="ru-RU"/>
    </w:rPr>
  </w:style>
  <w:style w:type="paragraph" w:customStyle="1" w:styleId="44">
    <w:name w:val="Table Paragraph"/>
    <w:basedOn w:val="1"/>
    <w:qFormat/>
    <w:uiPriority w:val="1"/>
    <w:pPr>
      <w:autoSpaceDE w:val="0"/>
      <w:autoSpaceDN w:val="0"/>
      <w:spacing w:before="5" w:line="205" w:lineRule="exact"/>
      <w:ind w:left="40"/>
    </w:pPr>
    <w:rPr>
      <w:rFonts w:ascii="Courier New" w:hAnsi="Courier New" w:eastAsia="Courier New" w:cs="Courier New"/>
      <w:color w:val="auto"/>
      <w:sz w:val="22"/>
      <w:szCs w:val="22"/>
      <w:lang w:eastAsia="en-US" w:bidi="ar-SA"/>
    </w:rPr>
  </w:style>
  <w:style w:type="character" w:customStyle="1" w:styleId="45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6">
    <w:name w:val="relative"/>
    <w:basedOn w:val="2"/>
    <w:qFormat/>
    <w:uiPriority w:val="0"/>
  </w:style>
  <w:style w:type="character" w:customStyle="1" w:styleId="47">
    <w:name w:val="ml-1"/>
    <w:basedOn w:val="2"/>
    <w:qFormat/>
    <w:uiPriority w:val="0"/>
  </w:style>
  <w:style w:type="character" w:customStyle="1" w:styleId="48">
    <w:name w:val="max-w-full"/>
    <w:basedOn w:val="2"/>
    <w:qFormat/>
    <w:uiPriority w:val="0"/>
  </w:style>
  <w:style w:type="paragraph" w:styleId="49">
    <w:name w:val="No Spacing"/>
    <w:qFormat/>
    <w:uiPriority w:val="1"/>
    <w:pPr>
      <w:widowControl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A166E3-0DA3-4890-92B0-EA16CCD45B6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15</Pages>
  <Words>9622</Words>
  <Characters>54852</Characters>
  <Lines>457</Lines>
  <Paragraphs>128</Paragraphs>
  <TotalTime>22</TotalTime>
  <ScaleCrop>false</ScaleCrop>
  <LinksUpToDate>false</LinksUpToDate>
  <CharactersWithSpaces>64346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2024-03-14T10:47:00Z</dcterms:created>
  <dc:creator>Катаманова Ольга Викторовна (МТУ в Алтайском крае и Республике Алтай)</dc:creator>
  <cp:lastModifiedBy>User17</cp:lastModifiedBy>
  <cp:lastPrinted>2025-03-25T05:17:00Z</cp:lastPrinted>
  <dcterms:modified xsi:type="dcterms:W3CDTF">2025-08-03T12:29:34Z</dcterms:modified>
  <cp:revision>121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9B3181C762C0488FB5E6C3FD257ABF5E_12</vt:lpwstr>
  </property>
</Properties>
</file>