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template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74"/>
        <w:ind w:firstLine="567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I. Пояснительная записка</w:t>
      </w:r>
      <w:r/>
    </w:p>
    <w:p>
      <w:pPr>
        <w:pStyle w:val="874"/>
        <w:ind w:firstLine="567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к показателям оценки эффективности деятельности органов</w:t>
      </w:r>
      <w:r/>
    </w:p>
    <w:p>
      <w:pPr>
        <w:pStyle w:val="874"/>
        <w:ind w:firstLine="567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местного самоуправления </w:t>
      </w:r>
      <w:r>
        <w:rPr>
          <w:b/>
          <w:sz w:val="26"/>
          <w:szCs w:val="26"/>
        </w:rPr>
        <w:t xml:space="preserve">муниципального образования «Усть-Коксинский район» за</w:t>
      </w:r>
      <w:r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20</w:t>
      </w:r>
      <w:r>
        <w:rPr>
          <w:b/>
          <w:sz w:val="26"/>
          <w:szCs w:val="26"/>
        </w:rPr>
        <w:t xml:space="preserve">2</w:t>
      </w:r>
      <w:r>
        <w:rPr>
          <w:b/>
          <w:sz w:val="26"/>
          <w:szCs w:val="26"/>
        </w:rPr>
        <w:t xml:space="preserve">2</w:t>
      </w:r>
      <w:r>
        <w:rPr>
          <w:b/>
          <w:sz w:val="26"/>
          <w:szCs w:val="26"/>
        </w:rPr>
        <w:t xml:space="preserve"> год</w:t>
      </w:r>
      <w:r/>
    </w:p>
    <w:p>
      <w:pPr>
        <w:pStyle w:val="874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</w:r>
      <w:r/>
    </w:p>
    <w:p>
      <w:pPr>
        <w:ind w:left="0" w:right="0" w:firstLine="709"/>
        <w:jc w:val="both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eastAsia="Calibri"/>
          <w:sz w:val="28"/>
          <w:szCs w:val="28"/>
          <w:lang w:eastAsia="en-US"/>
        </w:rPr>
        <w:t xml:space="preserve">МО «Усть-Коксинский район» расположен </w:t>
      </w:r>
      <w:r>
        <w:rPr>
          <w:rFonts w:eastAsia="Calibri"/>
          <w:sz w:val="28"/>
          <w:szCs w:val="28"/>
          <w:lang w:eastAsia="en-US"/>
        </w:rPr>
        <w:t xml:space="preserve">на юго-западе Республики Алтай в горно-степной зоне. Площадь территории муниципального образования составляет 12958 км²  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(13,9 % от площади республики). В состав входят 9 сельских поселений, 42 населенных пункта. Административный центр – село Усть-Кокса находится на расстоянии  420 км от республиканского центра г. Горно-Алтайска. </w:t>
      </w:r>
      <w:r/>
    </w:p>
    <w:p>
      <w:pPr>
        <w:ind w:left="0" w:right="0" w:firstLine="709"/>
        <w:jc w:val="both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Численность населения (на 01.01.2023 г.) – 15 691 чел.:</w:t>
      </w:r>
      <w:r/>
    </w:p>
    <w:p>
      <w:pPr>
        <w:ind w:left="0" w:right="0" w:firstLine="709"/>
        <w:jc w:val="both"/>
        <w:spacing w:before="0" w:after="0" w:line="85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 </w:t>
      </w:r>
      <w:r/>
    </w:p>
    <w:tbl>
      <w:tblPr>
        <w:tblW w:w="9464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3227"/>
        <w:gridCol w:w="3260"/>
      </w:tblGrid>
      <w:tr>
        <w:trPr>
          <w:trHeight w:val="98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27" w:type="dxa"/>
            <w:vAlign w:val="top"/>
            <w:textDirection w:val="lrTb"/>
            <w:noWrap w:val="false"/>
          </w:tcPr>
          <w:p>
            <w:pPr>
              <w:pStyle w:val="874"/>
              <w:jc w:val="center"/>
              <w:spacing w:line="276" w:lineRule="auto"/>
              <w:widowControl w:val="off"/>
              <w:rPr>
                <w:bCs/>
                <w:spacing w:val="-8"/>
                <w:sz w:val="26"/>
                <w:szCs w:val="26"/>
              </w:rPr>
            </w:pPr>
            <w:r>
              <w:rPr>
                <w:bCs/>
                <w:spacing w:val="-8"/>
                <w:sz w:val="26"/>
                <w:szCs w:val="26"/>
              </w:rPr>
              <w:t xml:space="preserve">Наименование </w:t>
            </w:r>
            <w:r>
              <w:rPr>
                <w:bCs/>
                <w:spacing w:val="-8"/>
                <w:sz w:val="26"/>
                <w:szCs w:val="26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top"/>
            <w:textDirection w:val="lrTb"/>
            <w:noWrap w:val="false"/>
          </w:tcPr>
          <w:p>
            <w:pPr>
              <w:pStyle w:val="874"/>
              <w:jc w:val="center"/>
              <w:spacing w:line="276" w:lineRule="auto"/>
              <w:widowControl w:val="off"/>
              <w:rPr>
                <w:bCs/>
                <w:spacing w:val="-8"/>
                <w:sz w:val="26"/>
                <w:szCs w:val="26"/>
              </w:rPr>
            </w:pPr>
            <w:r>
              <w:rPr>
                <w:bCs/>
                <w:spacing w:val="-8"/>
                <w:sz w:val="26"/>
                <w:szCs w:val="26"/>
              </w:rPr>
              <w:t xml:space="preserve">А</w:t>
            </w:r>
            <w:r>
              <w:rPr>
                <w:bCs/>
                <w:spacing w:val="-8"/>
                <w:sz w:val="26"/>
                <w:szCs w:val="26"/>
              </w:rPr>
              <w:t xml:space="preserve">дрес официального сайта 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27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/>
              <w:rPr>
                <w:rFonts w:ascii="Times New Roman" w:hAnsi="Times New Roman" w:eastAsia="Times New Roman" w:cs="Times New Roman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 xml:space="preserve">Амурское сельское поселение</w:t>
            </w:r>
            <w:r>
              <w:rPr>
                <w:rFonts w:ascii="Times New Roman" w:hAnsi="Times New Roman" w:eastAsia="Times New Roman" w:cs="Times New Roman"/>
                <w:sz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/>
              <w:rPr>
                <w:rFonts w:ascii="Times New Roman" w:hAnsi="Times New Roman" w:eastAsia="Times New Roman" w:cs="Times New Roman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 xml:space="preserve">https://амурское-адм.рф/</w:t>
            </w:r>
            <w:r>
              <w:rPr>
                <w:rFonts w:ascii="Times New Roman" w:hAnsi="Times New Roman" w:eastAsia="Times New Roman" w:cs="Times New Roman"/>
                <w:sz w:val="20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27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/>
              <w:rPr>
                <w:rFonts w:ascii="Times New Roman" w:hAnsi="Times New Roman" w:eastAsia="Times New Roman" w:cs="Times New Roman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 xml:space="preserve">Верх-Уймонское сельское поселение</w:t>
            </w:r>
            <w:r>
              <w:rPr>
                <w:rFonts w:ascii="Times New Roman" w:hAnsi="Times New Roman" w:eastAsia="Times New Roman" w:cs="Times New Roman"/>
                <w:sz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/>
            <w:hyperlink r:id="rId9" w:tooltip="http://verh-uimon.ru/" w:history="1">
              <w:r>
                <w:rPr>
                  <w:rStyle w:val="900"/>
                  <w:rFonts w:ascii="Times New Roman" w:hAnsi="Times New Roman" w:eastAsia="Times New Roman" w:cs="Times New Roman"/>
                  <w:color w:val="0563c1"/>
                  <w:sz w:val="28"/>
                  <w:u w:val="single"/>
                </w:rPr>
                <w:t xml:space="preserve">http://verh-uimon.ru/</w:t>
              </w:r>
            </w:hyperlink>
            <w:r>
              <w:rPr>
                <w:rFonts w:ascii="Times New Roman" w:hAnsi="Times New Roman" w:eastAsia="Times New Roman" w:cs="Times New Roman"/>
                <w:sz w:val="20"/>
              </w:rPr>
            </w:r>
            <w:r/>
          </w:p>
          <w:p>
            <w:pPr>
              <w:ind w:left="0" w:right="0" w:firstLine="0"/>
              <w:spacing w:before="0" w:after="0"/>
              <w:rPr>
                <w:rFonts w:ascii="Times New Roman" w:hAnsi="Times New Roman" w:eastAsia="Times New Roman" w:cs="Times New Roman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sz w:val="20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27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/>
              <w:rPr>
                <w:rFonts w:ascii="Times New Roman" w:hAnsi="Times New Roman" w:eastAsia="Times New Roman" w:cs="Times New Roman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 xml:space="preserve">Горбуновское сельское поселение</w:t>
            </w:r>
            <w:r>
              <w:rPr>
                <w:rFonts w:ascii="Times New Roman" w:hAnsi="Times New Roman" w:eastAsia="Times New Roman" w:cs="Times New Roman"/>
                <w:sz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/>
              <w:rPr>
                <w:rFonts w:ascii="Times New Roman" w:hAnsi="Times New Roman" w:eastAsia="Times New Roman" w:cs="Times New Roman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 xml:space="preserve">http://spgorbunovo.ru/</w:t>
            </w:r>
            <w:r>
              <w:rPr>
                <w:rFonts w:ascii="Times New Roman" w:hAnsi="Times New Roman" w:eastAsia="Times New Roman" w:cs="Times New Roman"/>
                <w:sz w:val="20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27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spacing w:before="0" w:after="0"/>
              <w:rPr>
                <w:rFonts w:ascii="Times New Roman" w:hAnsi="Times New Roman" w:eastAsia="Times New Roman" w:cs="Times New Roman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 xml:space="preserve">Карагайское сельское поселение</w:t>
            </w:r>
            <w:r>
              <w:rPr>
                <w:rFonts w:ascii="Times New Roman" w:hAnsi="Times New Roman" w:eastAsia="Times New Roman" w:cs="Times New Roman"/>
                <w:sz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spacing w:before="0" w:after="0"/>
              <w:rPr>
                <w:rFonts w:ascii="Times New Roman" w:hAnsi="Times New Roman" w:eastAsia="Times New Roman" w:cs="Times New Roman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 xml:space="preserve">https://xn--80aaallxcf0bop.xn--p1ai/</w:t>
            </w:r>
            <w:r>
              <w:rPr>
                <w:rFonts w:ascii="Times New Roman" w:hAnsi="Times New Roman" w:eastAsia="Times New Roman" w:cs="Times New Roman"/>
                <w:sz w:val="20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27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spacing w:before="0" w:after="0"/>
              <w:rPr>
                <w:rFonts w:ascii="Times New Roman" w:hAnsi="Times New Roman" w:eastAsia="Times New Roman" w:cs="Times New Roman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 xml:space="preserve">Катандинское сельское поселение</w:t>
            </w:r>
            <w:r>
              <w:rPr>
                <w:rFonts w:ascii="Times New Roman" w:hAnsi="Times New Roman" w:eastAsia="Times New Roman" w:cs="Times New Roman"/>
                <w:sz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spacing w:before="0" w:after="0"/>
              <w:rPr>
                <w:rFonts w:ascii="Times New Roman" w:hAnsi="Times New Roman" w:eastAsia="Times New Roman" w:cs="Times New Roman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 xml:space="preserve">http://admkatanda.ru/</w:t>
            </w:r>
            <w:r>
              <w:rPr>
                <w:rFonts w:ascii="Times New Roman" w:hAnsi="Times New Roman" w:eastAsia="Times New Roman" w:cs="Times New Roman"/>
                <w:sz w:val="20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27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spacing w:before="0" w:after="0"/>
              <w:rPr>
                <w:rFonts w:ascii="Times New Roman" w:hAnsi="Times New Roman" w:eastAsia="Times New Roman" w:cs="Times New Roman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 xml:space="preserve">Огневское сельское поселение</w:t>
            </w:r>
            <w:r>
              <w:rPr>
                <w:rFonts w:ascii="Times New Roman" w:hAnsi="Times New Roman" w:eastAsia="Times New Roman" w:cs="Times New Roman"/>
                <w:sz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spacing w:before="0" w:after="0"/>
              <w:rPr>
                <w:rFonts w:ascii="Times New Roman" w:hAnsi="Times New Roman" w:eastAsia="Times New Roman" w:cs="Times New Roman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 xml:space="preserve">http://oghnievka.ru</w:t>
            </w:r>
            <w:r>
              <w:rPr>
                <w:rFonts w:ascii="Times New Roman" w:hAnsi="Times New Roman" w:eastAsia="Times New Roman" w:cs="Times New Roman"/>
                <w:sz w:val="20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27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spacing w:before="0" w:after="0"/>
              <w:rPr>
                <w:rFonts w:ascii="Times New Roman" w:hAnsi="Times New Roman" w:eastAsia="Times New Roman" w:cs="Times New Roman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 xml:space="preserve">Талдинское сельское поселение</w:t>
            </w:r>
            <w:r>
              <w:rPr>
                <w:rFonts w:ascii="Times New Roman" w:hAnsi="Times New Roman" w:eastAsia="Times New Roman" w:cs="Times New Roman"/>
                <w:sz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spacing w:before="0" w:after="0"/>
              <w:rPr>
                <w:rFonts w:ascii="Times New Roman" w:hAnsi="Times New Roman" w:eastAsia="Times New Roman" w:cs="Times New Roman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 xml:space="preserve">https://taldinskoe.ru/</w:t>
            </w:r>
            <w:r>
              <w:rPr>
                <w:rFonts w:ascii="Times New Roman" w:hAnsi="Times New Roman" w:eastAsia="Times New Roman" w:cs="Times New Roman"/>
                <w:sz w:val="20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27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spacing w:before="0" w:after="0"/>
              <w:rPr>
                <w:rFonts w:ascii="Times New Roman" w:hAnsi="Times New Roman" w:eastAsia="Times New Roman" w:cs="Times New Roman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 xml:space="preserve">Усть-Коксинское сельское поселение</w:t>
            </w:r>
            <w:r>
              <w:rPr>
                <w:rFonts w:ascii="Times New Roman" w:hAnsi="Times New Roman" w:eastAsia="Times New Roman" w:cs="Times New Roman"/>
                <w:sz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spacing w:before="0" w:after="0"/>
              <w:rPr>
                <w:rFonts w:ascii="Times New Roman" w:hAnsi="Times New Roman" w:eastAsia="Times New Roman" w:cs="Times New Roman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 xml:space="preserve">http://ustkoksa.ru/</w:t>
            </w:r>
            <w:r>
              <w:rPr>
                <w:rFonts w:ascii="Times New Roman" w:hAnsi="Times New Roman" w:eastAsia="Times New Roman" w:cs="Times New Roman"/>
                <w:sz w:val="20"/>
              </w:rPr>
            </w:r>
            <w:r/>
          </w:p>
        </w:tc>
      </w:tr>
      <w:tr>
        <w:trPr>
          <w:trHeight w:val="87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27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spacing w:before="0" w:after="0"/>
              <w:rPr>
                <w:rFonts w:ascii="Times New Roman" w:hAnsi="Times New Roman" w:eastAsia="Times New Roman" w:cs="Times New Roman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 xml:space="preserve">Чендекское сельское поселение</w:t>
            </w:r>
            <w:r>
              <w:rPr>
                <w:rFonts w:ascii="Times New Roman" w:hAnsi="Times New Roman" w:eastAsia="Times New Roman" w:cs="Times New Roman"/>
                <w:sz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top"/>
            <w:vMerge w:val="restart"/>
            <w:textDirection w:val="lrTb"/>
            <w:noWrap w:val="false"/>
          </w:tcPr>
          <w:tbl>
            <w:tblPr>
              <w:tblStyle w:val="730"/>
              <w:tblW w:w="0" w:type="auto"/>
              <w:tblInd w:w="0" w:type="dxa"/>
              <w:tblBorders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insideH w:val="none" w:color="000000" w:sz="4" w:space="0"/>
                <w:insideV w:val="none" w:color="000000" w:sz="4" w:space="0"/>
              </w:tblBorders>
              <w:tblLayout w:type="autofit"/>
              <w:tblLook w:val="04A0" w:firstRow="1" w:lastRow="0" w:firstColumn="1" w:lastColumn="0" w:noHBand="0" w:noVBand="1"/>
            </w:tblPr>
            <w:tblGrid>
              <w:gridCol w:w="2465"/>
            </w:tblGrid>
            <w:tr>
              <w:trPr/>
              <w:tc>
                <w:tcPr>
                  <w:tcBorders>
                    <w:top w:val="none" w:color="000000" w:sz="4" w:space="0"/>
                    <w:left w:val="none" w:color="000000" w:sz="4" w:space="0"/>
                    <w:bottom w:val="none" w:color="000000" w:sz="4" w:space="0"/>
                    <w:right w:val="none" w:color="000000" w:sz="4" w:space="0"/>
                  </w:tcBorders>
                  <w:tcMar>
                    <w:left w:w="108" w:type="dxa"/>
                    <w:top w:w="0" w:type="dxa"/>
                    <w:right w:w="108" w:type="dxa"/>
                    <w:bottom w:w="0" w:type="dxa"/>
                  </w:tcMar>
                  <w:tcW w:w="2465" w:type="dxa"/>
                  <w:vAlign w:val="top"/>
                  <w:textDirection w:val="lrTb"/>
                  <w:noWrap w:val="false"/>
                </w:tcPr>
                <w:p>
                  <w:pPr>
                    <w:ind w:left="0" w:right="0" w:firstLine="0"/>
                    <w:spacing w:before="0" w:after="0"/>
                    <w:rPr>
                      <w:rFonts w:ascii="Times New Roman" w:hAnsi="Times New Roman" w:eastAsia="Times New Roman" w:cs="Times New Roman"/>
                      <w:szCs w:val="20"/>
                    </w:rPr>
                    <w:pBdr>
                      <w:top w:val="none" w:color="000000" w:sz="4" w:space="0"/>
                      <w:left w:val="none" w:color="000000" w:sz="4" w:space="0"/>
                      <w:bottom w:val="none" w:color="000000" w:sz="4" w:space="0"/>
                      <w:right w:val="none" w:color="000000" w:sz="4" w:space="0"/>
                    </w:pBd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8"/>
                    </w:rPr>
                    <w:t xml:space="preserve">http://admchendek.ru/</w:t>
                  </w:r>
                  <w:r>
                    <w:rPr>
                      <w:rFonts w:ascii="Times New Roman" w:hAnsi="Times New Roman" w:eastAsia="Times New Roman" w:cs="Times New Roman"/>
                      <w:sz w:val="20"/>
                    </w:rPr>
                  </w:r>
                  <w:r/>
                </w:p>
              </w:tc>
            </w:tr>
          </w:tbl>
          <w:p>
            <w:r/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27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/>
              <w:rPr>
                <w:rFonts w:ascii="Times New Roman" w:hAnsi="Times New Roman" w:eastAsia="Times New Roman" w:cs="Times New Roman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 xml:space="preserve">Усть-Коксинское муниципальное образование</w:t>
            </w:r>
            <w:r>
              <w:rPr>
                <w:rFonts w:ascii="Times New Roman" w:hAnsi="Times New Roman" w:eastAsia="Times New Roman" w:cs="Times New Roman"/>
                <w:sz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/>
              <w:rPr>
                <w:rFonts w:ascii="Times New Roman" w:hAnsi="Times New Roman" w:eastAsia="Times New Roman" w:cs="Times New Roman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 xml:space="preserve">http://ust-koksa-altay.ru/</w:t>
            </w:r>
            <w:r>
              <w:rPr>
                <w:rFonts w:ascii="Times New Roman" w:hAnsi="Times New Roman" w:eastAsia="Times New Roman" w:cs="Times New Roman"/>
                <w:sz w:val="20"/>
              </w:rPr>
            </w:r>
            <w:r/>
          </w:p>
        </w:tc>
      </w:tr>
    </w:tbl>
    <w:p>
      <w:pPr>
        <w:pStyle w:val="874"/>
        <w:jc w:val="both"/>
        <w:spacing w:line="360" w:lineRule="auto"/>
        <w:shd w:val="clear" w:color="auto" w:fill="ffffff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</w:r>
      <w:r/>
    </w:p>
    <w:p>
      <w:pPr>
        <w:pStyle w:val="874"/>
        <w:ind w:firstLine="709"/>
        <w:jc w:val="both"/>
        <w:spacing w:line="276" w:lineRule="auto"/>
        <w:shd w:val="clear" w:color="auto" w:fill="ffffff"/>
        <w:rPr>
          <w:sz w:val="28"/>
          <w:szCs w:val="28"/>
        </w:rPr>
      </w:pPr>
      <w:r>
        <w:rPr>
          <w:spacing w:val="-4"/>
          <w:sz w:val="28"/>
          <w:szCs w:val="28"/>
        </w:rPr>
        <w:t xml:space="preserve">Д</w:t>
      </w:r>
      <w:r>
        <w:rPr>
          <w:spacing w:val="-3"/>
          <w:sz w:val="28"/>
          <w:szCs w:val="28"/>
        </w:rPr>
        <w:t xml:space="preserve">оклад</w:t>
      </w:r>
      <w:r>
        <w:rPr>
          <w:spacing w:val="-3"/>
          <w:sz w:val="28"/>
          <w:szCs w:val="28"/>
        </w:rPr>
        <w:t xml:space="preserve"> глав</w:t>
      </w:r>
      <w:r>
        <w:rPr>
          <w:spacing w:val="-3"/>
          <w:sz w:val="28"/>
          <w:szCs w:val="28"/>
        </w:rPr>
        <w:t xml:space="preserve">ы муниципального района</w:t>
      </w:r>
      <w:r>
        <w:rPr>
          <w:spacing w:val="-3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 xml:space="preserve">о достигнутых значениях показателей для оценки эф</w:t>
      </w:r>
      <w:r>
        <w:rPr>
          <w:spacing w:val="-4"/>
          <w:sz w:val="28"/>
          <w:szCs w:val="28"/>
        </w:rPr>
        <w:t xml:space="preserve">фективности деятельности органов местного самоуправления городского округа и </w:t>
      </w:r>
      <w:r>
        <w:rPr>
          <w:spacing w:val="-3"/>
          <w:sz w:val="28"/>
          <w:szCs w:val="28"/>
        </w:rPr>
        <w:t xml:space="preserve">муниципальных районов в Республике Алтай за </w:t>
      </w:r>
      <w:r>
        <w:rPr>
          <w:spacing w:val="-3"/>
          <w:sz w:val="28"/>
          <w:szCs w:val="28"/>
        </w:rPr>
        <w:t xml:space="preserve">20</w:t>
      </w:r>
      <w:r>
        <w:rPr>
          <w:spacing w:val="-3"/>
          <w:sz w:val="28"/>
          <w:szCs w:val="28"/>
        </w:rPr>
        <w:t xml:space="preserve">2</w:t>
      </w:r>
      <w:r>
        <w:rPr>
          <w:spacing w:val="-3"/>
          <w:sz w:val="28"/>
          <w:szCs w:val="28"/>
        </w:rPr>
        <w:t xml:space="preserve">2</w:t>
      </w:r>
      <w:r>
        <w:rPr>
          <w:spacing w:val="-3"/>
          <w:sz w:val="28"/>
          <w:szCs w:val="28"/>
        </w:rPr>
        <w:t xml:space="preserve"> год </w:t>
      </w:r>
      <w:r>
        <w:rPr>
          <w:spacing w:val="-3"/>
          <w:sz w:val="28"/>
          <w:szCs w:val="28"/>
        </w:rPr>
        <w:t xml:space="preserve">подготовлен</w:t>
      </w:r>
      <w:r>
        <w:rPr>
          <w:spacing w:val="-3"/>
          <w:sz w:val="28"/>
          <w:szCs w:val="28"/>
        </w:rPr>
        <w:t xml:space="preserve"> на основе статистических данных Алтай</w:t>
      </w:r>
      <w:r>
        <w:rPr>
          <w:spacing w:val="-3"/>
          <w:sz w:val="28"/>
          <w:szCs w:val="28"/>
        </w:rPr>
        <w:t xml:space="preserve">край</w:t>
      </w:r>
      <w:r>
        <w:rPr>
          <w:spacing w:val="-3"/>
          <w:sz w:val="28"/>
          <w:szCs w:val="28"/>
        </w:rPr>
        <w:t xml:space="preserve">стата,</w:t>
      </w:r>
      <w:r>
        <w:rPr>
          <w:spacing w:val="-3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 xml:space="preserve">ведомственной статистики, сформированной исполнительными органами государст</w:t>
      </w:r>
      <w:r>
        <w:rPr>
          <w:spacing w:val="-3"/>
          <w:sz w:val="28"/>
          <w:szCs w:val="28"/>
        </w:rPr>
        <w:t xml:space="preserve">венной власти Республики Алтай</w:t>
      </w:r>
      <w:r>
        <w:rPr>
          <w:spacing w:val="-3"/>
          <w:sz w:val="28"/>
          <w:szCs w:val="28"/>
        </w:rPr>
        <w:t xml:space="preserve">, а также данных ведомс</w:t>
      </w:r>
      <w:r>
        <w:rPr>
          <w:spacing w:val="-3"/>
          <w:sz w:val="28"/>
          <w:szCs w:val="28"/>
        </w:rPr>
        <w:t xml:space="preserve">твенной статистики муниципального образования</w:t>
      </w:r>
      <w:r>
        <w:rPr>
          <w:spacing w:val="-3"/>
          <w:sz w:val="28"/>
          <w:szCs w:val="28"/>
        </w:rPr>
        <w:t xml:space="preserve">.</w:t>
      </w:r>
      <w:r>
        <w:rPr>
          <w:sz w:val="28"/>
          <w:szCs w:val="28"/>
        </w:rPr>
      </w:r>
      <w:r/>
    </w:p>
    <w:p>
      <w:pPr>
        <w:pStyle w:val="874"/>
        <w:ind w:firstLine="709"/>
        <w:jc w:val="both"/>
        <w:spacing w:line="276" w:lineRule="auto"/>
        <w:shd w:val="clear" w:color="auto" w:fill="ffffff"/>
        <w:tabs>
          <w:tab w:val="left" w:pos="900" w:leader="none"/>
        </w:tabs>
        <w:rPr>
          <w:spacing w:val="-3"/>
          <w:sz w:val="28"/>
          <w:szCs w:val="28"/>
        </w:rPr>
      </w:pPr>
      <w:r>
        <w:rPr>
          <w:spacing w:val="-4"/>
          <w:sz w:val="28"/>
          <w:szCs w:val="28"/>
        </w:rPr>
        <w:t xml:space="preserve">Итоги оценки эффективности деятельности органов местного самоуправле</w:t>
      </w:r>
      <w:r>
        <w:rPr>
          <w:spacing w:val="-3"/>
          <w:sz w:val="28"/>
          <w:szCs w:val="28"/>
        </w:rPr>
        <w:t xml:space="preserve">ния городского округа / муниципального района</w:t>
      </w:r>
      <w:r>
        <w:rPr>
          <w:spacing w:val="-3"/>
          <w:sz w:val="28"/>
          <w:szCs w:val="28"/>
        </w:rPr>
        <w:t xml:space="preserve"> в</w:t>
      </w:r>
      <w:r>
        <w:rPr>
          <w:spacing w:val="-3"/>
          <w:sz w:val="28"/>
          <w:szCs w:val="28"/>
        </w:rPr>
        <w:t xml:space="preserve"> Р</w:t>
      </w:r>
      <w:r>
        <w:rPr>
          <w:spacing w:val="-3"/>
          <w:sz w:val="28"/>
          <w:szCs w:val="28"/>
        </w:rPr>
        <w:t xml:space="preserve">еспублике Алтай определены по 9</w:t>
      </w:r>
      <w:r>
        <w:rPr>
          <w:spacing w:val="-3"/>
          <w:sz w:val="28"/>
          <w:szCs w:val="28"/>
        </w:rPr>
        <w:t xml:space="preserve"> разделам: </w:t>
      </w:r>
      <w:r>
        <w:rPr>
          <w:spacing w:val="-3"/>
          <w:sz w:val="28"/>
          <w:szCs w:val="28"/>
        </w:rPr>
        <w:t xml:space="preserve">экономическое развитие</w:t>
      </w:r>
      <w:r>
        <w:rPr>
          <w:spacing w:val="-4"/>
          <w:sz w:val="28"/>
          <w:szCs w:val="28"/>
        </w:rPr>
        <w:t xml:space="preserve">,</w:t>
      </w:r>
      <w:r>
        <w:rPr>
          <w:spacing w:val="-2"/>
          <w:sz w:val="28"/>
          <w:szCs w:val="28"/>
        </w:rPr>
        <w:t xml:space="preserve"> дошкольное образование, общее и дополнительное образование, культура, </w:t>
      </w:r>
      <w:r>
        <w:rPr>
          <w:spacing w:val="-3"/>
          <w:sz w:val="28"/>
          <w:szCs w:val="28"/>
        </w:rPr>
        <w:t xml:space="preserve">физическая культура и спорт, жилищное строительство и обеспечение граждан жильем, жилищно-коммунальное хозяйство, организация муниципального управления, энергосбережение и повышение энергетической эффективности.</w:t>
      </w:r>
      <w:r/>
    </w:p>
    <w:p>
      <w:pPr>
        <w:pStyle w:val="874"/>
        <w:ind w:firstLine="709"/>
        <w:jc w:val="both"/>
        <w:spacing w:line="276" w:lineRule="auto"/>
        <w:shd w:val="clear" w:color="auto" w:fill="ffffff"/>
        <w:rPr>
          <w:spacing w:val="-3"/>
          <w:sz w:val="28"/>
          <w:szCs w:val="28"/>
        </w:rPr>
      </w:pPr>
      <w:r>
        <w:rPr>
          <w:spacing w:val="-2"/>
          <w:sz w:val="28"/>
          <w:szCs w:val="28"/>
        </w:rPr>
        <w:t xml:space="preserve">Оценка эффективности деятельности органов местного самоуправления </w:t>
      </w:r>
      <w:r>
        <w:rPr>
          <w:spacing w:val="-4"/>
          <w:sz w:val="28"/>
          <w:szCs w:val="28"/>
        </w:rPr>
        <w:t xml:space="preserve">создает предпосылки для системного исследования результативности управления </w:t>
      </w:r>
      <w:r>
        <w:rPr>
          <w:spacing w:val="-3"/>
          <w:sz w:val="28"/>
          <w:szCs w:val="28"/>
        </w:rPr>
        <w:t xml:space="preserve">муниципальным образованием</w:t>
      </w:r>
      <w:r>
        <w:rPr>
          <w:spacing w:val="-3"/>
          <w:sz w:val="28"/>
          <w:szCs w:val="28"/>
        </w:rPr>
        <w:t xml:space="preserve">, принятия решений и мер по дальнейшему совершенствованию муниципального управления</w:t>
      </w:r>
      <w:r>
        <w:rPr>
          <w:spacing w:val="-3"/>
          <w:sz w:val="28"/>
          <w:szCs w:val="28"/>
        </w:rPr>
        <w:t xml:space="preserve">.</w:t>
      </w:r>
      <w:r>
        <w:rPr>
          <w:spacing w:val="-3"/>
          <w:sz w:val="28"/>
          <w:szCs w:val="28"/>
        </w:rPr>
      </w:r>
      <w:r/>
    </w:p>
    <w:p>
      <w:pPr>
        <w:pStyle w:val="874"/>
        <w:ind w:firstLine="709"/>
        <w:jc w:val="both"/>
        <w:spacing w:line="276" w:lineRule="auto"/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874"/>
        <w:rPr>
          <w:b/>
          <w:spacing w:val="-4"/>
          <w:sz w:val="26"/>
          <w:szCs w:val="26"/>
        </w:rPr>
      </w:pPr>
      <w:r>
        <w:rPr>
          <w:b/>
          <w:spacing w:val="-4"/>
          <w:sz w:val="26"/>
          <w:szCs w:val="26"/>
        </w:rPr>
      </w:r>
      <w:r/>
    </w:p>
    <w:p>
      <w:pPr>
        <w:pStyle w:val="874"/>
        <w:numPr>
          <w:ilvl w:val="0"/>
          <w:numId w:val="4"/>
        </w:numPr>
        <w:jc w:val="center"/>
        <w:rPr>
          <w:b/>
          <w:spacing w:val="-4"/>
          <w:sz w:val="26"/>
          <w:szCs w:val="26"/>
        </w:rPr>
      </w:pPr>
      <w:r>
        <w:rPr>
          <w:b/>
          <w:spacing w:val="-4"/>
          <w:sz w:val="26"/>
          <w:szCs w:val="26"/>
        </w:rPr>
        <w:t xml:space="preserve">Экономическое развитие</w:t>
      </w:r>
      <w:r/>
    </w:p>
    <w:p>
      <w:pPr>
        <w:pStyle w:val="874"/>
        <w:ind w:left="1287"/>
        <w:jc w:val="both"/>
        <w:rPr>
          <w:b/>
          <w:spacing w:val="-4"/>
          <w:sz w:val="26"/>
          <w:szCs w:val="26"/>
        </w:rPr>
      </w:pPr>
      <w:r>
        <w:rPr>
          <w:b/>
          <w:spacing w:val="-4"/>
          <w:sz w:val="26"/>
          <w:szCs w:val="26"/>
        </w:rPr>
      </w:r>
      <w:r/>
    </w:p>
    <w:p>
      <w:pPr>
        <w:ind w:left="0" w:right="0" w:firstLine="567"/>
        <w:jc w:val="both"/>
        <w:spacing w:before="0" w:after="0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8"/>
        </w:rPr>
        <w:t xml:space="preserve">П.1 Число субъектов малого и среднего предпринимательства в расчете на 10 тыс. человек населения </w:t>
      </w:r>
      <w:r/>
    </w:p>
    <w:p>
      <w:pPr>
        <w:ind w:left="0" w:right="0" w:firstLine="709"/>
        <w:jc w:val="both"/>
        <w:spacing w:before="0" w:after="0"/>
        <w:shd w:val="clear" w:color="ffffff" w:fill="ffffff"/>
        <w:rPr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8"/>
        </w:rPr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8"/>
        </w:rPr>
        <w:t xml:space="preserve">Число субъектов малого и среднего предпринимательства в расчете на 10 тыс. человек населения</w:t>
      </w:r>
      <w:r>
        <w:rPr>
          <w:rFonts w:ascii="Times New Roman" w:hAnsi="Times New Roman" w:eastAsia="Times New Roman" w:cs="Times New Roman"/>
          <w:b/>
          <w:color w:val="000000"/>
          <w:sz w:val="28"/>
        </w:rPr>
        <w:t xml:space="preserve"> 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составляет 323,11 ед. По сравнению с 2021 г. наблюдается увеличение показателя на 15,71 </w:t>
      </w:r>
      <w:r>
        <w:rPr>
          <w:rFonts w:ascii="Times New Roman" w:hAnsi="Times New Roman" w:eastAsia="Times New Roman" w:cs="Times New Roman"/>
          <w:color w:val="000000" w:themeColor="text1"/>
          <w:sz w:val="28"/>
        </w:rPr>
        <w:t xml:space="preserve">ед.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 (в 2021 г.  307,40 ед.), темп роста составил 105,11 %.</w:t>
      </w:r>
      <w:r>
        <w:rPr>
          <w:sz w:val="28"/>
          <w:szCs w:val="28"/>
          <w:highlight w:val="none"/>
        </w:rPr>
        <w:t xml:space="preserve"> </w:t>
      </w:r>
      <w:r>
        <w:rPr>
          <w:sz w:val="28"/>
          <w:szCs w:val="28"/>
          <w:highlight w:val="none"/>
        </w:rPr>
      </w:r>
      <w:r/>
    </w:p>
    <w:p>
      <w:pPr>
        <w:ind w:left="0" w:right="0" w:firstLine="708"/>
        <w:jc w:val="both"/>
        <w:spacing w:before="0" w:after="160"/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sz w:val="28"/>
          <w:szCs w:val="28"/>
          <w:highlight w:val="none"/>
        </w:rPr>
      </w:r>
      <w:r>
        <w:rPr>
          <w:sz w:val="28"/>
          <w:szCs w:val="28"/>
          <w:highlight w:val="none"/>
        </w:rPr>
        <w:t xml:space="preserve">К</w:t>
      </w:r>
      <w:r>
        <w:rPr>
          <w:sz w:val="28"/>
          <w:szCs w:val="28"/>
          <w:highlight w:val="none"/>
        </w:rPr>
        <w:t xml:space="preserve">оличество </w:t>
      </w:r>
      <w:r>
        <w:rPr>
          <w:sz w:val="28"/>
          <w:szCs w:val="28"/>
          <w:highlight w:val="none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субъектов малого и среднего предпринимательства (далее – МСП)</w:t>
      </w:r>
      <w:r>
        <w:rPr>
          <w:sz w:val="28"/>
          <w:szCs w:val="28"/>
          <w:highlight w:val="none"/>
        </w:rPr>
        <w:t xml:space="preserve"> за  2022 г. составило 507 ед., по сравнению с 2021</w:t>
      </w:r>
      <w:r>
        <w:rPr>
          <w:color w:val="ff0000"/>
          <w:sz w:val="28"/>
          <w:szCs w:val="28"/>
          <w:highlight w:val="none"/>
        </w:rPr>
        <w:t xml:space="preserve"> </w:t>
      </w:r>
      <w:r>
        <w:rPr>
          <w:color w:val="000000" w:themeColor="text1"/>
          <w:sz w:val="28"/>
          <w:szCs w:val="28"/>
          <w:highlight w:val="none"/>
        </w:rPr>
        <w:t xml:space="preserve">г.</w:t>
      </w:r>
      <w:r>
        <w:rPr>
          <w:sz w:val="28"/>
          <w:szCs w:val="28"/>
          <w:highlight w:val="none"/>
        </w:rPr>
        <w:t xml:space="preserve"> </w:t>
      </w:r>
      <w:r>
        <w:rPr>
          <w:sz w:val="28"/>
          <w:szCs w:val="28"/>
          <w:highlight w:val="none"/>
        </w:rPr>
        <w:t xml:space="preserve"> (488 ед.) </w:t>
      </w:r>
      <w:r>
        <w:rPr>
          <w:sz w:val="28"/>
          <w:szCs w:val="28"/>
          <w:highlight w:val="none"/>
        </w:rPr>
        <w:t xml:space="preserve">наблюдается</w:t>
      </w:r>
      <w:r>
        <w:rPr>
          <w:sz w:val="28"/>
          <w:szCs w:val="28"/>
          <w:highlight w:val="none"/>
        </w:rPr>
        <w:t xml:space="preserve"> у</w:t>
      </w:r>
      <w:r>
        <w:rPr>
          <w:sz w:val="28"/>
          <w:szCs w:val="28"/>
          <w:highlight w:val="none"/>
        </w:rPr>
        <w:t xml:space="preserve">величение на 3,9% (19 ед.).  </w:t>
      </w:r>
      <w:r>
        <w:rPr>
          <w:sz w:val="28"/>
          <w:szCs w:val="28"/>
          <w:highlight w:val="none"/>
        </w:rPr>
        <w:t xml:space="preserve">Количество субъектов МСП</w:t>
      </w:r>
      <w:r>
        <w:rPr>
          <w:rFonts w:ascii="Times New Roman" w:hAnsi="Times New Roman" w:eastAsia="Times New Roman" w:cs="Times New Roman"/>
          <w:color w:val="333333"/>
          <w:sz w:val="28"/>
        </w:rPr>
        <w:t xml:space="preserve"> </w:t>
      </w:r>
      <w:r>
        <w:rPr>
          <w:rFonts w:ascii="Times New Roman" w:hAnsi="Times New Roman" w:eastAsia="Times New Roman" w:cs="Times New Roman"/>
          <w:color w:val="333333"/>
          <w:sz w:val="28"/>
        </w:rPr>
        <w:t xml:space="preserve">увеличилось </w:t>
      </w:r>
      <w:r>
        <w:rPr>
          <w:rFonts w:ascii="Times New Roman" w:hAnsi="Times New Roman" w:eastAsia="Times New Roman" w:cs="Times New Roman"/>
          <w:color w:val="000000" w:themeColor="text1"/>
          <w:sz w:val="28"/>
        </w:rPr>
        <w:t xml:space="preserve">за счет создания новых предприятий,  индивидуальных предпринимателей и зарегистрированных «самозанятых»</w:t>
      </w:r>
      <w:r>
        <w:rPr>
          <w:sz w:val="28"/>
          <w:szCs w:val="28"/>
          <w:highlight w:val="none"/>
        </w:rPr>
        <w:t xml:space="preserve">.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8"/>
        </w:rPr>
        <w:t xml:space="preserve"> В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8"/>
        </w:rPr>
        <w:t xml:space="preserve">районе создано  дополнительно  198 рабочих мест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8"/>
        </w:rPr>
        <w:t xml:space="preserve">.</w:t>
      </w:r>
      <w:r>
        <w:rPr>
          <w:b w:val="0"/>
          <w:bCs w:val="0"/>
          <w:color w:val="000000" w:themeColor="text1"/>
          <w:sz w:val="28"/>
          <w:szCs w:val="28"/>
          <w:highlight w:val="none"/>
        </w:rPr>
        <w:t xml:space="preserve"> </w:t>
      </w:r>
      <w:r>
        <w:rPr>
          <w:rFonts w:ascii="Times New Roman" w:hAnsi="Times New Roman" w:eastAsia="Times New Roman" w:cs="Times New Roman"/>
          <w:color w:val="000000" w:themeColor="text1"/>
          <w:sz w:val="28"/>
        </w:rPr>
      </w:r>
      <w:r/>
    </w:p>
    <w:p>
      <w:pPr>
        <w:ind w:left="0" w:right="0" w:firstLine="708"/>
        <w:jc w:val="both"/>
        <w:spacing w:before="0" w:after="160"/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 w:themeColor="text1"/>
          <w:sz w:val="28"/>
        </w:rPr>
      </w:r>
      <w:r>
        <w:rPr>
          <w:sz w:val="28"/>
          <w:szCs w:val="28"/>
          <w:highlight w:val="none"/>
        </w:rPr>
        <w:t xml:space="preserve">В целях увеличения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количества субъектов  МСП в МО «Усть-Коксинский район» проведены следующие мероприятия: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  <w:r/>
    </w:p>
    <w:p>
      <w:pPr>
        <w:ind w:left="0" w:right="0" w:firstLine="0"/>
        <w:jc w:val="both"/>
        <w:spacing w:before="0" w:after="0"/>
        <w:rPr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  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- проведено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5  совместных заседаний комиссии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по отбору проектов в целях предоставления государственной социальной помощи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с КУ РА «Управлением социальной поддержки населения Усть-Коксинского района». 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По итогам проведенных заседаний, выплаты по социальному контракту 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на ведение предпринимательской деятельности 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  получили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   66 чел. Общая сумма финансовой поддержки составляет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17,1 млн.руб.</w:t>
      </w:r>
      <w:r>
        <w:rPr>
          <w:sz w:val="28"/>
          <w:szCs w:val="28"/>
        </w:rPr>
        <w:t xml:space="preserve"> Все физические лица, получившие социальную помощь, </w:t>
      </w:r>
      <w:r>
        <w:rPr>
          <w:sz w:val="28"/>
          <w:szCs w:val="28"/>
        </w:rPr>
        <w:t xml:space="preserve">зарегистрированы индивидуальными предпринимателями, </w:t>
      </w:r>
      <w:r>
        <w:rPr>
          <w:sz w:val="28"/>
          <w:szCs w:val="28"/>
        </w:rPr>
        <w:t xml:space="preserve"> «самозанятыми»  и</w:t>
      </w:r>
      <w:r>
        <w:rPr>
          <w:sz w:val="28"/>
          <w:szCs w:val="28"/>
        </w:rPr>
        <w:t xml:space="preserve"> в настоящее время осуществляют предпринимательскую деятельность;</w:t>
      </w:r>
      <w:r>
        <w:rPr>
          <w:sz w:val="28"/>
          <w:szCs w:val="28"/>
        </w:rPr>
      </w:r>
      <w:r/>
    </w:p>
    <w:p>
      <w:pPr>
        <w:ind w:left="0" w:right="0" w:firstLine="0"/>
        <w:jc w:val="both"/>
        <w:spacing w:before="0" w:after="0"/>
        <w:rPr>
          <w:rFonts w:ascii="Times New Roman" w:hAnsi="Times New Roman" w:eastAsia="Times New Roman" w:cs="Times New Roman"/>
          <w:color w:val="000000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sz w:val="28"/>
          <w:szCs w:val="28"/>
          <w:highlight w:val="none"/>
        </w:rPr>
        <w:t xml:space="preserve">  - оказывали консультационную помощь в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регистрации физических лиц </w:t>
      </w:r>
      <w:r>
        <w:rPr>
          <w:sz w:val="28"/>
          <w:szCs w:val="28"/>
        </w:rPr>
        <w:t xml:space="preserve">«самозанятыми» гражданами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, информировали о применении  специального налогового режима « Налог на профессиональный доход».  По состоянию на 01.01.2023 г. в МО «Усть-Коксинский район» зарегистрировано 600 «самозанятых» граждан.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  <w:r/>
    </w:p>
    <w:p>
      <w:pPr>
        <w:ind w:left="0" w:right="0" w:firstLine="0"/>
        <w:jc w:val="both"/>
        <w:spacing w:before="0" w:after="0"/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 -  на постоянной основе информировали субъектов МСП о государственной поддержке, оказываемой на муниципальном и региональном уровнях.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 В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группе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WhatsApp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«Предприниматели района» (участников более 142 чел) и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 официальный сайт администрации района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ежедневно пополняли   материалами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о государственной и муниципальной поддержке.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  <w:r/>
    </w:p>
    <w:p>
      <w:pPr>
        <w:ind w:left="0" w:right="0" w:firstLine="709"/>
        <w:jc w:val="both"/>
        <w:spacing w:before="0" w:after="0" w:line="64" w:lineRule="atLeast"/>
        <w:shd w:val="clear" w:color="ffffff" w:fill="ffffff"/>
        <w:rPr>
          <w:color w:val="ff0000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 xml:space="preserve">В 2022 г. была оказана следующая государственная поддержка предпринимателям Усть-Коксинского района:</w:t>
      </w:r>
      <w:r/>
    </w:p>
    <w:p>
      <w:pPr>
        <w:ind w:left="0" w:right="0" w:firstLine="709"/>
        <w:jc w:val="both"/>
        <w:spacing w:before="0" w:after="0" w:line="64" w:lineRule="atLeast"/>
        <w:shd w:val="clear" w:color="ffffff" w:fill="ffffff"/>
        <w:rPr>
          <w:color w:val="000000" w:themeColor="text1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 Министерство сельского хозяйства РА 85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субсидий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-  134,8 млн. руб.;</w:t>
      </w:r>
      <w:r>
        <w:rPr>
          <w:color w:val="000000" w:themeColor="text1"/>
        </w:rPr>
      </w:r>
      <w:r/>
    </w:p>
    <w:p>
      <w:pPr>
        <w:ind w:left="0" w:right="0" w:firstLine="709"/>
        <w:jc w:val="both"/>
        <w:spacing w:before="0" w:after="0" w:line="64" w:lineRule="atLeast"/>
        <w:shd w:val="clear" w:color="ffffff" w:fill="ffffff"/>
        <w:rPr>
          <w:color w:val="000000" w:themeColor="text1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 Министерство экономического развития РА 23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субсидии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 - 3,1 млн. руб.;</w:t>
      </w:r>
      <w:r>
        <w:rPr>
          <w:color w:val="000000" w:themeColor="text1"/>
        </w:rPr>
      </w:r>
      <w:r/>
    </w:p>
    <w:p>
      <w:pPr>
        <w:ind w:left="0" w:right="0" w:firstLine="709"/>
        <w:jc w:val="both"/>
        <w:spacing w:before="0" w:after="0" w:line="64" w:lineRule="atLeast"/>
        <w:shd w:val="clear" w:color="ffffff" w:fill="ffffff"/>
        <w:rPr>
          <w:color w:val="000000" w:themeColor="text1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 Министерство природных ресурсов, экологии и туризма РА 4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субсидии  - 44,7 млн. руб.;</w:t>
      </w:r>
      <w:r>
        <w:rPr>
          <w:color w:val="000000" w:themeColor="text1"/>
        </w:rPr>
      </w:r>
      <w:r/>
    </w:p>
    <w:p>
      <w:pPr>
        <w:ind w:left="0" w:right="0" w:firstLine="709"/>
        <w:jc w:val="both"/>
        <w:spacing w:before="0" w:after="0" w:line="64" w:lineRule="atLeast"/>
        <w:shd w:val="clear" w:color="ffffff" w:fill="ffffff"/>
        <w:rPr>
          <w:color w:val="000000" w:themeColor="text1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МКК, НКО «Фонд поддержки малого и среднего предпринимательства Республики Алтай» 29 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микрозаймов  -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 37,4 млн.руб.;</w:t>
      </w:r>
      <w:r>
        <w:rPr>
          <w:color w:val="000000" w:themeColor="text1"/>
        </w:rPr>
      </w:r>
      <w:r/>
    </w:p>
    <w:p>
      <w:pPr>
        <w:ind w:left="0" w:right="0" w:firstLine="709"/>
        <w:jc w:val="both"/>
        <w:spacing w:before="0" w:after="0" w:line="64" w:lineRule="atLeast"/>
        <w:shd w:val="clear" w:color="ffffff" w:fill="ffffff"/>
        <w:rPr>
          <w:rFonts w:ascii="Times New Roman" w:hAnsi="Times New Roman" w:cs="Times New Roman"/>
          <w:color w:val="000000" w:themeColor="text1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/>
          <w:color w:val="000000" w:themeColor="text1"/>
          <w:sz w:val="28"/>
          <w:szCs w:val="28"/>
          <w:highlight w:val="none"/>
        </w:rPr>
        <w:t xml:space="preserve">Некоммерческая организация «Гарантийный фонд Республики Алтай»</w:t>
      </w:r>
      <w:r>
        <w:rPr>
          <w:rFonts w:ascii="Times New Roman" w:hAnsi="Times New Roman" w:cs="Times New Roman"/>
          <w:color w:val="000000" w:themeColor="text1"/>
          <w:sz w:val="28"/>
          <w:szCs w:val="28"/>
          <w:highlight w:val="none"/>
        </w:rPr>
        <w:t xml:space="preserve"> 3 поручительства - 1,3 млн.руб.;</w:t>
      </w:r>
      <w:r>
        <w:rPr>
          <w:rFonts w:ascii="Times New Roman" w:hAnsi="Times New Roman" w:cs="Times New Roman"/>
          <w:color w:val="000000" w:themeColor="text1"/>
          <w:sz w:val="28"/>
          <w:szCs w:val="28"/>
          <w:highlight w:val="none"/>
        </w:rPr>
      </w:r>
      <w:r/>
    </w:p>
    <w:p>
      <w:pPr>
        <w:ind w:left="0" w:right="0" w:firstLine="0"/>
        <w:jc w:val="both"/>
        <w:spacing w:before="0" w:after="0"/>
        <w:rPr>
          <w:rFonts w:ascii="Times New Roman" w:hAnsi="Times New Roman" w:eastAsia="Times New Roman" w:cs="Times New Roman"/>
          <w:bCs/>
          <w:i/>
          <w:color w:val="000000" w:themeColor="text1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 w:themeColor="text1"/>
          <w:sz w:val="28"/>
        </w:rPr>
        <w:t xml:space="preserve">         МКК АМУ Центр поддержки предпринимател</w:t>
      </w:r>
      <w:r>
        <w:rPr>
          <w:rFonts w:ascii="Times New Roman" w:hAnsi="Times New Roman" w:eastAsia="Times New Roman" w:cs="Times New Roman"/>
          <w:color w:val="000000" w:themeColor="text1"/>
          <w:sz w:val="28"/>
        </w:rPr>
        <w:t xml:space="preserve">ьства  МО «Усть-Коксинский район» </w:t>
      </w:r>
      <w:r>
        <w:rPr>
          <w:rFonts w:ascii="Times New Roman" w:hAnsi="Times New Roman" w:eastAsia="Times New Roman" w:cs="Times New Roman"/>
          <w:color w:val="000000" w:themeColor="text1"/>
          <w:sz w:val="28"/>
          <w:highlight w:val="none"/>
        </w:rPr>
        <w:t xml:space="preserve"> 6</w:t>
      </w:r>
      <w:r>
        <w:rPr>
          <w:rFonts w:ascii="Times New Roman" w:hAnsi="Times New Roman" w:eastAsia="Times New Roman" w:cs="Times New Roman"/>
          <w:color w:val="000000" w:themeColor="text1"/>
          <w:sz w:val="28"/>
          <w:highlight w:val="none"/>
        </w:rPr>
        <w:t xml:space="preserve"> </w:t>
      </w:r>
      <w:r>
        <w:rPr>
          <w:rFonts w:ascii="Times New Roman" w:hAnsi="Times New Roman" w:eastAsia="Times New Roman" w:cs="Times New Roman"/>
          <w:color w:val="000000" w:themeColor="text1"/>
          <w:sz w:val="28"/>
        </w:rPr>
        <w:t xml:space="preserve"> микрозаймов </w:t>
      </w:r>
      <w:r>
        <w:rPr>
          <w:rFonts w:ascii="Times New Roman" w:hAnsi="Times New Roman" w:eastAsia="Times New Roman" w:cs="Times New Roman"/>
          <w:color w:val="000000" w:themeColor="text1"/>
          <w:sz w:val="28"/>
        </w:rPr>
        <w:t xml:space="preserve"> -   3,0 млн.руб.  </w:t>
      </w:r>
      <w:r>
        <w:rPr>
          <w:color w:val="000000" w:themeColor="text1"/>
        </w:rPr>
      </w:r>
      <w:r/>
    </w:p>
    <w:p>
      <w:pPr>
        <w:ind w:left="0" w:right="0" w:firstLine="708"/>
        <w:jc w:val="both"/>
        <w:spacing w:before="0" w:after="0"/>
        <w:rPr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В 2022 г. Администрацией МО «Усть-Коксинский район» субъектам МСП оказана имущественная поддержка в виде представления муниципальных площадей по льготной арендной плате, общая площадь которой  составляет 2210 кв.м.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  <w:t xml:space="preserve"> В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  <w:t xml:space="preserve">перечне муниципального имущества для предоставления во владение и пользование на долгосрочной основе субъектам МСП и «самозанятым» на 2022 г.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  <w:t xml:space="preserve"> значится 29 объектов.</w:t>
      </w:r>
      <w:r>
        <w:rPr>
          <w:highlight w:val="none"/>
        </w:rPr>
      </w:r>
      <w:r/>
    </w:p>
    <w:p>
      <w:pPr>
        <w:ind w:left="0" w:right="0" w:firstLine="0"/>
        <w:jc w:val="both"/>
        <w:spacing w:before="0" w:after="0"/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     </w:t>
      </w:r>
      <w:r/>
    </w:p>
    <w:p>
      <w:pPr>
        <w:ind w:left="0" w:right="0" w:firstLine="567"/>
        <w:jc w:val="both"/>
        <w:spacing w:before="0" w:after="0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8"/>
        </w:rPr>
        <w:t xml:space="preserve">П.2 Доля среднесписочной численности работников (без внешних совместителей) малых и средних предприятий в среднесписочной численности работников (без внешних совместителей) всех предприятий и организаций.</w:t>
      </w:r>
      <w:r/>
    </w:p>
    <w:p>
      <w:pPr>
        <w:ind w:left="0" w:right="0" w:firstLine="567"/>
        <w:jc w:val="both"/>
        <w:spacing w:before="0" w:after="0"/>
        <w:rPr>
          <w:b w:val="0"/>
          <w:bCs w:val="0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 w:val="0"/>
          <w:bCs w:val="0"/>
          <w:color w:val="000000"/>
          <w:sz w:val="28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8"/>
          <w:highlight w:val="none"/>
        </w:rPr>
      </w:r>
      <w:r/>
    </w:p>
    <w:p>
      <w:pPr>
        <w:ind w:left="0" w:right="0" w:firstLine="567"/>
        <w:jc w:val="both"/>
        <w:spacing w:before="0" w:after="0"/>
        <w:rPr>
          <w:rFonts w:ascii="Times New Roman" w:hAnsi="Times New Roman" w:eastAsia="Times New Roman" w:cs="Times New Roman"/>
          <w:b w:val="0"/>
          <w:bCs w:val="0"/>
          <w:color w:val="000000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 w:val="0"/>
          <w:bCs w:val="0"/>
          <w:color w:val="000000"/>
          <w:sz w:val="28"/>
          <w:szCs w:val="28"/>
          <w:highlight w:val="none"/>
        </w:rPr>
        <w:t xml:space="preserve">На 01.01.2023 г. из 507 субъектов МСП, количество малых предприятий составило - 16 ед., микропредприятий – 489 ед.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8"/>
          <w:szCs w:val="28"/>
          <w:highlight w:val="none"/>
        </w:rPr>
      </w:r>
      <w:r/>
    </w:p>
    <w:p>
      <w:pPr>
        <w:ind w:left="0" w:right="0" w:firstLine="0"/>
        <w:jc w:val="both"/>
        <w:spacing w:before="0" w:after="0"/>
        <w:rPr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        Среднесписочная численность работников (без внешних совместителей) малых предприятий увеличилась  на 112,8%, или на 40 чел. и составила 353 чел. по сравнению с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2021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г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. (313 чел.)</w:t>
      </w:r>
      <w:r>
        <w:rPr>
          <w:sz w:val="28"/>
          <w:szCs w:val="28"/>
        </w:rPr>
      </w:r>
      <w:r/>
    </w:p>
    <w:p>
      <w:pPr>
        <w:ind w:left="0" w:right="0" w:firstLine="567"/>
        <w:jc w:val="both"/>
        <w:spacing w:before="0" w:after="0"/>
        <w:rPr>
          <w:color w:val="000000" w:themeColor="text1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  <w:t xml:space="preserve">Среднесписочная числ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  <w:t xml:space="preserve">енность работников (без внешних совместителей) средних предприятий снизилась на 0,6%, или на 2 чел. и   составила  339 чел.,  по сравнению 2021 г.  (341 чел.). Снижение  наблюдается не значительное,  по сравнению с предыдущим годом.</w:t>
      </w:r>
      <w:r>
        <w:rPr>
          <w:color w:val="000000" w:themeColor="text1"/>
        </w:rPr>
      </w:r>
      <w:r/>
    </w:p>
    <w:p>
      <w:pPr>
        <w:ind w:left="0" w:right="0" w:firstLine="567"/>
        <w:jc w:val="both"/>
        <w:spacing w:before="0" w:after="0"/>
        <w:rPr>
          <w:color w:val="000000" w:themeColor="text1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Доля среднесписочной численности работников (без внешних совместителей) малых и средних предприятий в среднесписочной численности работников (без внешних совместителей) всех предприятий и организаций составила 23,36%,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увеличение уровня 2022 г. на 1,34 п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роцентных пункта (за 2021 г. – 22,02 %).</w:t>
      </w:r>
      <w:r>
        <w:rPr>
          <w:color w:val="000000" w:themeColor="text1"/>
        </w:rPr>
      </w:r>
      <w:r/>
    </w:p>
    <w:p>
      <w:pPr>
        <w:ind w:left="0" w:right="0" w:firstLine="0"/>
        <w:jc w:val="both"/>
        <w:spacing w:before="0" w:after="0"/>
        <w:rPr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 </w:t>
      </w:r>
      <w:r>
        <w:rPr>
          <w:sz w:val="28"/>
          <w:szCs w:val="28"/>
        </w:rPr>
      </w:r>
      <w:r/>
    </w:p>
    <w:p>
      <w:pPr>
        <w:ind w:left="0" w:right="0" w:firstLine="567"/>
        <w:jc w:val="both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Calibri" w:hAnsi="Calibri" w:eastAsia="Calibri" w:cs="Calibri"/>
          <w:color w:val="000000"/>
          <w:sz w:val="22"/>
        </w:rPr>
        <w:t xml:space="preserve"> </w:t>
      </w:r>
      <w:r>
        <w:rPr>
          <w:rFonts w:ascii="Times New Roman" w:hAnsi="Times New Roman" w:cs="Times New Roman"/>
          <w:b/>
          <w:sz w:val="26"/>
          <w:szCs w:val="26"/>
        </w:rPr>
        <w:t xml:space="preserve">П. 3 Объем инвестиций в основной капитал (за исключением бюджетных </w:t>
      </w:r>
      <w:r>
        <w:rPr>
          <w:rFonts w:ascii="Times New Roman" w:hAnsi="Times New Roman" w:eastAsia="Times New Roman" w:cs="Times New Roman"/>
          <w:b/>
          <w:color w:val="000000"/>
          <w:sz w:val="28"/>
        </w:rPr>
        <w:t xml:space="preserve">средств), в расчете на 1 жителя.</w:t>
      </w:r>
      <w:r>
        <w:rPr>
          <w:rFonts w:ascii="Times New Roman" w:hAnsi="Times New Roman" w:eastAsia="Times New Roman" w:cs="Times New Roman"/>
          <w:b/>
          <w:color w:val="000000"/>
          <w:sz w:val="28"/>
        </w:rPr>
        <w:t xml:space="preserve"> </w:t>
      </w:r>
      <w:r/>
    </w:p>
    <w:p>
      <w:pPr>
        <w:ind w:left="0" w:right="0" w:firstLine="851"/>
        <w:jc w:val="both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/>
      <w:r/>
    </w:p>
    <w:p>
      <w:pPr>
        <w:ind w:left="0" w:right="0" w:firstLine="709"/>
        <w:jc w:val="both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Общий объем инвестиций в основной капитал по крупным и средним организациям составил 650 858 тыс. рублей (темп роста к 2021 году - 159,5%), в том числе бюджетные  - 554 860 тыс. рублей, частные - 95 998 тыс. рублей.</w:t>
      </w:r>
      <w:r>
        <w:rPr>
          <w:rFonts w:ascii="Times New Roman" w:hAnsi="Times New Roman" w:eastAsia="Times New Roman" w:cs="Times New Roman"/>
          <w:sz w:val="20"/>
        </w:rPr>
      </w:r>
      <w:r/>
    </w:p>
    <w:p>
      <w:pPr>
        <w:ind w:left="0" w:right="0" w:firstLine="851"/>
        <w:jc w:val="both"/>
        <w:spacing w:before="0" w:after="0"/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 Объем инвестиций в основной капитал (за исключением бюджетных средств) на душу населения в 2022 г. составил 6106,35 руб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 (данный показатель на 01.01.2022 г. – 5521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 руб.). 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Темп роста данного показателя</w:t>
      </w:r>
      <w:r>
        <w:rPr>
          <w:rFonts w:ascii="Times New Roman" w:hAnsi="Times New Roman" w:eastAsia="Times New Roman" w:cs="Times New Roman"/>
          <w:color w:val="000000" w:themeColor="text1"/>
          <w:sz w:val="28"/>
        </w:rPr>
        <w:t xml:space="preserve"> по отношению к аналогичному показателю</w:t>
      </w:r>
      <w:r>
        <w:rPr>
          <w:rFonts w:ascii="Times New Roman" w:hAnsi="Times New Roman" w:eastAsia="Times New Roman" w:cs="Times New Roman"/>
          <w:color w:val="000000" w:themeColor="text1"/>
          <w:sz w:val="28"/>
        </w:rPr>
        <w:t xml:space="preserve"> 2021 года - 110,6%.</w:t>
      </w:r>
      <w:r>
        <w:rPr>
          <w:color w:val="000000" w:themeColor="text1"/>
        </w:rPr>
      </w:r>
      <w:r/>
    </w:p>
    <w:p>
      <w:pPr>
        <w:ind w:left="0" w:right="0" w:firstLine="787"/>
        <w:jc w:val="both"/>
        <w:spacing w:before="0" w:after="0"/>
        <w:rPr>
          <w:rFonts w:ascii="Times New Roman" w:hAnsi="Times New Roman" w:eastAsia="Times New Roman" w:cs="Times New Roman"/>
          <w:color w:val="000000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Причиной увеличения 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/>
          <w:sz w:val="28"/>
        </w:rPr>
        <w:t xml:space="preserve">объема частных инвестиций в 2022 г. 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является ввод объектов туристической деятельности.</w:t>
      </w:r>
      <w:r>
        <w:rPr>
          <w:rFonts w:ascii="Times New Roman" w:hAnsi="Times New Roman" w:eastAsia="Times New Roman" w:cs="Times New Roman"/>
          <w:sz w:val="20"/>
        </w:rPr>
      </w:r>
      <w:r/>
    </w:p>
    <w:p>
      <w:pPr>
        <w:ind w:left="0" w:right="0" w:firstLine="787"/>
        <w:jc w:val="both"/>
        <w:spacing w:before="0" w:after="0"/>
        <w:rPr>
          <w:rFonts w:ascii="Times New Roman" w:hAnsi="Times New Roman" w:eastAsia="Times New Roman" w:cs="Times New Roman"/>
          <w:color w:val="000000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За счет частных инвестиций в 2022 году реализовывались следующие мероприятия:</w:t>
      </w:r>
      <w:r/>
    </w:p>
    <w:p>
      <w:pPr>
        <w:pStyle w:val="714"/>
        <w:numPr>
          <w:ilvl w:val="0"/>
          <w:numId w:val="27"/>
        </w:numPr>
        <w:ind w:right="0"/>
        <w:jc w:val="both"/>
        <w:spacing w:before="0" w:after="0"/>
        <w:rPr>
          <w:rFonts w:ascii="Times New Roman" w:hAnsi="Times New Roman" w:eastAsia="Times New Roman" w:cs="Times New Roman"/>
          <w:color w:val="000000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строительство сооружений 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Филиал ПАО «Россети Сибирь- «Алтайэнерго»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 ;</w:t>
      </w:r>
      <w:r/>
    </w:p>
    <w:p>
      <w:pPr>
        <w:pStyle w:val="714"/>
        <w:numPr>
          <w:ilvl w:val="0"/>
          <w:numId w:val="27"/>
        </w:numPr>
        <w:ind w:right="0"/>
        <w:jc w:val="both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модернизация цеха по переработке молочной продукции, приобретение спецтехники, оборудования и транспортных средств СПК «Абайский». </w:t>
      </w:r>
      <w:r/>
    </w:p>
    <w:p>
      <w:pPr>
        <w:ind w:left="0" w:right="0" w:firstLine="787"/>
        <w:jc w:val="both"/>
        <w:spacing w:before="0" w:after="0"/>
        <w:rPr>
          <w:b w:val="0"/>
          <w:bCs w:val="0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 w:val="0"/>
          <w:bCs w:val="0"/>
          <w:color w:val="000000"/>
          <w:sz w:val="28"/>
        </w:rPr>
        <w:t xml:space="preserve">За счет 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/>
          <w:sz w:val="28"/>
        </w:rPr>
        <w:t xml:space="preserve">внебюджетных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8"/>
        </w:rPr>
        <w:t xml:space="preserve"> инвестиций планируется:</w:t>
      </w:r>
      <w:r>
        <w:rPr>
          <w:b w:val="0"/>
          <w:bCs w:val="0"/>
        </w:rPr>
      </w:r>
      <w:r/>
    </w:p>
    <w:p>
      <w:pPr>
        <w:numPr>
          <w:ilvl w:val="0"/>
          <w:numId w:val="26"/>
        </w:numPr>
        <w:jc w:val="both"/>
        <w:spacing w:before="0" w:after="0" w:line="253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строительство сооружений 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Филиал ПАО «Россети Сибирь- «Алтайэнерго»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;</w:t>
      </w:r>
      <w:r/>
    </w:p>
    <w:p>
      <w:pPr>
        <w:numPr>
          <w:ilvl w:val="0"/>
          <w:numId w:val="26"/>
        </w:numPr>
        <w:jc w:val="both"/>
        <w:spacing w:before="0" w:after="0" w:line="253" w:lineRule="atLeast"/>
        <w:rPr>
          <w:rFonts w:ascii="Calibri" w:hAnsi="Calibri" w:eastAsia="Calibri" w:cs="Calibri"/>
          <w:sz w:val="22"/>
          <w:szCs w:val="22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highlight w:val="none"/>
        </w:rPr>
        <w:t xml:space="preserve">капитальный ремонт водопроводной сети в с.Усть-Кокса - МУП «Тепловодстрой Сервис»;</w:t>
      </w:r>
      <w:r>
        <w:rPr>
          <w:rFonts w:ascii="Times New Roman" w:hAnsi="Times New Roman" w:eastAsia="Times New Roman" w:cs="Times New Roman"/>
          <w:color w:val="000000"/>
          <w:sz w:val="28"/>
          <w:highlight w:val="none"/>
        </w:rPr>
      </w:r>
      <w:r/>
    </w:p>
    <w:p>
      <w:pPr>
        <w:numPr>
          <w:ilvl w:val="0"/>
          <w:numId w:val="26"/>
        </w:numPr>
        <w:jc w:val="both"/>
        <w:spacing w:before="0" w:after="0" w:line="253" w:lineRule="atLeast"/>
        <w:rPr>
          <w:rFonts w:ascii="Calibri" w:hAnsi="Calibri" w:eastAsia="Calibri" w:cs="Calibri"/>
          <w:sz w:val="22"/>
          <w:szCs w:val="22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highlight w:val="none"/>
        </w:rPr>
        <w:t xml:space="preserve">приобретение спецтехники СПК «Абайский».</w:t>
      </w:r>
      <w:r>
        <w:rPr>
          <w:rFonts w:ascii="Times New Roman" w:hAnsi="Times New Roman" w:eastAsia="Times New Roman" w:cs="Times New Roman"/>
          <w:color w:val="000000"/>
          <w:sz w:val="28"/>
          <w:highlight w:val="none"/>
        </w:rPr>
      </w:r>
      <w:r/>
    </w:p>
    <w:p>
      <w:pPr>
        <w:pStyle w:val="884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</w:r>
      <w:r/>
    </w:p>
    <w:p>
      <w:pPr>
        <w:pStyle w:val="884"/>
        <w:ind w:firstLine="567"/>
        <w:jc w:val="both"/>
        <w:rPr>
          <w:rFonts w:ascii="Times New Roman" w:hAnsi="Times New Roman" w:cs="Times New Roman"/>
          <w:b/>
          <w:bCs/>
          <w:sz w:val="26"/>
          <w:szCs w:val="26"/>
          <w:highlight w:val="none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П.4</w:t>
      </w:r>
      <w:r>
        <w:rPr>
          <w:rFonts w:ascii="Times New Roman" w:hAnsi="Times New Roman" w:cs="Times New Roman"/>
          <w:b/>
          <w:sz w:val="26"/>
          <w:szCs w:val="26"/>
        </w:rPr>
        <w:t xml:space="preserve"> Доля площади земельных участков, являющихся объектами налогообложения земельным налогом, в общей площади территории городского округа</w:t>
      </w:r>
      <w:r>
        <w:rPr>
          <w:rFonts w:ascii="Times New Roman" w:hAnsi="Times New Roman" w:cs="Times New Roman"/>
          <w:b/>
          <w:sz w:val="26"/>
          <w:szCs w:val="26"/>
        </w:rPr>
        <w:t xml:space="preserve"> (муниципального района)</w:t>
      </w:r>
      <w:r>
        <w:rPr>
          <w:rFonts w:ascii="Times New Roman" w:hAnsi="Times New Roman" w:cs="Times New Roman"/>
          <w:b/>
          <w:sz w:val="26"/>
          <w:szCs w:val="26"/>
        </w:rPr>
        <w:t xml:space="preserve">.</w:t>
      </w:r>
      <w:r>
        <w:rPr>
          <w:rFonts w:ascii="Times New Roman" w:hAnsi="Times New Roman" w:cs="Times New Roman"/>
          <w:b/>
          <w:sz w:val="26"/>
          <w:szCs w:val="26"/>
        </w:rPr>
      </w:r>
      <w:r/>
    </w:p>
    <w:p>
      <w:pPr>
        <w:ind w:left="0" w:right="0" w:firstLine="567"/>
        <w:jc w:val="both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Общая площадь территории МО «Усть-Коксинский район» составляет 1 295 186 га.</w:t>
      </w:r>
      <w:r/>
    </w:p>
    <w:p>
      <w:pPr>
        <w:ind w:left="0" w:right="0" w:firstLine="567"/>
        <w:jc w:val="both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Общая площадь земельных участков, являющихся объектами налогообложения земельным налогом на 01.01.2023 г., составила 390 457,765 га.</w:t>
      </w:r>
      <w:r/>
    </w:p>
    <w:p>
      <w:pPr>
        <w:ind w:left="0" w:right="0" w:firstLine="567"/>
        <w:jc w:val="both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I. Не являются объектом налогообложения следующие земельные участки:</w:t>
      </w:r>
      <w:r/>
    </w:p>
    <w:p>
      <w:pPr>
        <w:ind w:left="0" w:right="0" w:firstLine="567"/>
        <w:jc w:val="both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1. Земельные участки, которые не признаются объектами налогообложения земельным налогом, в соответствии со статьей 389 Налогового кодекса Российской Федерации, а именно:</w:t>
      </w:r>
      <w:r/>
    </w:p>
    <w:p>
      <w:pPr>
        <w:ind w:left="0" w:right="0" w:firstLine="567"/>
        <w:jc w:val="both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- 151 664 га – земли особо охраняемых природных территорий - земли государственного природного биосферного заповедника «Катунский» - «Сведения о наличии и распределении земель по категориям и формам собственности» Росреестра;</w:t>
      </w:r>
      <w:r/>
    </w:p>
    <w:p>
      <w:pPr>
        <w:ind w:left="0" w:right="0" w:firstLine="567"/>
        <w:jc w:val="both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- 333 227 га - земли лесного фонда - форма № 22-1 «Сведения о наличии и распределении земель по категориям и формам собственности» Росреестра;</w:t>
      </w:r>
      <w:r/>
    </w:p>
    <w:p>
      <w:pPr>
        <w:ind w:left="0" w:right="0" w:firstLine="567"/>
        <w:jc w:val="both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- 2 416 га – земли водного фонда - форма № 22-1 «Сведения о наличии и распределении земель по категориям и формам собственности» Росреестра;</w:t>
      </w:r>
      <w:r/>
    </w:p>
    <w:p>
      <w:pPr>
        <w:ind w:left="0" w:right="0" w:firstLine="567"/>
        <w:jc w:val="both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- 26 га - земли под объектами организаций федеральной службы.</w:t>
      </w:r>
      <w:r/>
    </w:p>
    <w:p>
      <w:pPr>
        <w:ind w:left="0" w:right="0" w:firstLine="567"/>
        <w:jc w:val="both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2. Земельные участки, свободные от прав третьих лиц, никому не предоставленные:</w:t>
      </w:r>
      <w:r/>
    </w:p>
    <w:p>
      <w:pPr>
        <w:ind w:left="0" w:right="0" w:firstLine="567"/>
        <w:jc w:val="both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- 235 582 га - земли запаса (общая площадь земельных участков, переведённых в 2021 г. из категории земель запаса в другие категории земель составляет 2 560,6 га.);</w:t>
      </w:r>
      <w:r/>
    </w:p>
    <w:p>
      <w:pPr>
        <w:ind w:left="0" w:right="0" w:firstLine="567"/>
        <w:jc w:val="both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- 2,58 га - земельные участки, переведенные из земель запаса, но не предоставленные в пользование (в собственность);</w:t>
      </w:r>
      <w:r/>
    </w:p>
    <w:p>
      <w:pPr>
        <w:ind w:left="0" w:right="0" w:firstLine="567"/>
        <w:jc w:val="both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- 25 549 га – по данным публичной кадастровой карты Росреестра - невостребованные на 01.01.2023 г. земельные доли граждан;</w:t>
      </w:r>
      <w:r/>
    </w:p>
    <w:p>
      <w:pPr>
        <w:ind w:left="0" w:right="0" w:firstLine="567"/>
        <w:jc w:val="both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- 21 629,2 га – по данным публичной кадастровой карты Росреестра - свободные от прав третьих лиц на 01.01.2023 г., фонд перераспределения земель района;</w:t>
      </w:r>
      <w:r/>
    </w:p>
    <w:p>
      <w:pPr>
        <w:ind w:left="0" w:right="0" w:firstLine="567"/>
        <w:jc w:val="both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- 65 896 га – по данным публичной кадастровой карты Росреестра - земли, свободные от прав третьих лиц на 01.01.2023 г. (бывшее постоянное (бессрочное) пользование ТОО «Сельхозфирма «Коксинская», не перешедшие к СПК «Коксинский»).</w:t>
      </w:r>
      <w:r/>
    </w:p>
    <w:p>
      <w:pPr>
        <w:ind w:left="0" w:right="0" w:firstLine="567"/>
        <w:jc w:val="both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II. Земельные участки, предоставленные в аренду гражданам и юридическим лицам:</w:t>
      </w:r>
      <w:r/>
    </w:p>
    <w:p>
      <w:pPr>
        <w:ind w:left="0" w:right="0" w:firstLine="567"/>
        <w:jc w:val="both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- 72 567,18 га - аренда государственных и муниципальных земель на территории МО «Усть-Коксинский район» по состоянию на 01.01.20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23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 г.</w:t>
      </w:r>
      <w:r/>
    </w:p>
    <w:p>
      <w:pPr>
        <w:ind w:left="0" w:right="0" w:firstLine="540"/>
        <w:jc w:val="both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По показателю на прогнозный период запланирован рост в связи с предоставлением свободных земельных участков в собственность физических и юридических лиц.</w:t>
      </w:r>
      <w:r/>
    </w:p>
    <w:p>
      <w:pPr>
        <w:pStyle w:val="874"/>
        <w:ind w:firstLine="567"/>
        <w:jc w:val="both"/>
        <w:tabs>
          <w:tab w:val="left" w:pos="4962" w:leader="none"/>
        </w:tabs>
        <w:rPr>
          <w:b/>
          <w:bCs/>
          <w:spacing w:val="-4"/>
          <w:sz w:val="26"/>
          <w:szCs w:val="26"/>
          <w:highlight w:val="none"/>
        </w:rPr>
      </w:pPr>
      <w:r>
        <w:rPr>
          <w:b/>
          <w:spacing w:val="-4"/>
          <w:sz w:val="26"/>
          <w:szCs w:val="26"/>
        </w:rPr>
        <w:t xml:space="preserve">П.5</w:t>
      </w:r>
      <w:r>
        <w:rPr>
          <w:b/>
          <w:spacing w:val="-4"/>
          <w:sz w:val="26"/>
          <w:szCs w:val="26"/>
        </w:rPr>
        <w:t xml:space="preserve"> </w:t>
      </w:r>
      <w:r>
        <w:rPr>
          <w:b/>
          <w:spacing w:val="-4"/>
          <w:sz w:val="26"/>
          <w:szCs w:val="26"/>
        </w:rPr>
        <w:t xml:space="preserve">Доля прибыльных сельскохозяйственных организаций</w:t>
      </w:r>
      <w:r>
        <w:rPr>
          <w:b/>
          <w:spacing w:val="-4"/>
          <w:sz w:val="26"/>
          <w:szCs w:val="26"/>
        </w:rPr>
        <w:t xml:space="preserve"> в общем их числе</w:t>
      </w:r>
      <w:r>
        <w:rPr>
          <w:b/>
          <w:spacing w:val="-4"/>
          <w:sz w:val="26"/>
          <w:szCs w:val="26"/>
        </w:rPr>
        <w:t xml:space="preserve">.</w:t>
      </w:r>
      <w:r>
        <w:rPr>
          <w:b/>
          <w:spacing w:val="-4"/>
          <w:sz w:val="26"/>
          <w:szCs w:val="26"/>
        </w:rPr>
      </w:r>
      <w:r/>
    </w:p>
    <w:p>
      <w:pPr>
        <w:ind w:firstLine="567"/>
        <w:jc w:val="both"/>
        <w:tabs>
          <w:tab w:val="left" w:pos="4962" w:leader="none"/>
        </w:tabs>
        <w:rPr>
          <w:b w:val="0"/>
          <w:bCs w:val="0"/>
          <w:spacing w:val="-4"/>
          <w:sz w:val="28"/>
          <w:szCs w:val="28"/>
        </w:rPr>
      </w:pPr>
      <w:r>
        <w:rPr>
          <w:b w:val="0"/>
          <w:bCs w:val="0"/>
          <w:spacing w:val="-4"/>
          <w:sz w:val="28"/>
          <w:szCs w:val="28"/>
          <w:highlight w:val="none"/>
        </w:rPr>
        <w:t xml:space="preserve">Доля прибыльных сельскохозяйственных организаций, получивших государственную поддержку в виде субс</w:t>
      </w:r>
      <w:r>
        <w:rPr>
          <w:b w:val="0"/>
          <w:bCs w:val="0"/>
          <w:spacing w:val="-4"/>
          <w:sz w:val="28"/>
          <w:szCs w:val="28"/>
          <w:highlight w:val="none"/>
        </w:rPr>
        <w:t xml:space="preserve">идий в 2022 г. составила 94,7%. Агропромышленный комплекс МО «Усть-Коксинский район» включает в себя 20 сельскохозяйственных предприятия, из них 19 предприятий получили государственную поддержку в виде субсидий на возмещение части затрат на молочное скотов</w:t>
      </w:r>
      <w:r>
        <w:rPr>
          <w:b w:val="0"/>
          <w:bCs w:val="0"/>
          <w:spacing w:val="-4"/>
          <w:sz w:val="28"/>
          <w:szCs w:val="28"/>
          <w:highlight w:val="none"/>
        </w:rPr>
        <w:t xml:space="preserve">одство, на оказание несвязанной поддержки сельхозтоваропроизводителей в области растениеводства, по наращиваю поголовья КРС, овец и коз, северных оленей, маралов и мясных табунных лошадей, на содержание племенного маточного поголовья сельскохозяйственных ж</w:t>
      </w:r>
      <w:r>
        <w:rPr>
          <w:b w:val="0"/>
          <w:bCs w:val="0"/>
          <w:spacing w:val="-4"/>
          <w:sz w:val="28"/>
          <w:szCs w:val="28"/>
          <w:highlight w:val="none"/>
        </w:rPr>
        <w:t xml:space="preserve">ивотных, на уплату первоначального взноса при приобретении новой сельскохозяйственной техники, оборудования, грузовых и специализированных автомобилей на условии лизинга, на приобретение новой сельскохозяйственной техники, грузовых автомобилей и животновод</w:t>
      </w:r>
      <w:r>
        <w:rPr>
          <w:b w:val="0"/>
          <w:bCs w:val="0"/>
          <w:spacing w:val="-4"/>
          <w:sz w:val="28"/>
          <w:szCs w:val="28"/>
          <w:highlight w:val="none"/>
        </w:rPr>
        <w:t xml:space="preserve">ческого оборудования. Из них 18 предприятий завершили финансовый год с прибылью, консолидированная чистая прибыль составила 166,2 млн. рублей. В сравнении с </w:t>
      </w:r>
      <w:r>
        <w:rPr>
          <w:b w:val="0"/>
          <w:bCs w:val="0"/>
          <w:color w:val="000000" w:themeColor="text1"/>
          <w:spacing w:val="-4"/>
          <w:sz w:val="28"/>
          <w:szCs w:val="28"/>
          <w:highlight w:val="none"/>
        </w:rPr>
        <w:t xml:space="preserve">прошлым</w:t>
      </w:r>
      <w:r>
        <w:rPr>
          <w:b w:val="0"/>
          <w:bCs w:val="0"/>
          <w:color w:val="000000" w:themeColor="text1"/>
          <w:spacing w:val="-4"/>
          <w:sz w:val="28"/>
          <w:szCs w:val="28"/>
          <w:highlight w:val="none"/>
        </w:rPr>
        <w:t xml:space="preserve"> г</w:t>
      </w:r>
      <w:r>
        <w:rPr>
          <w:b w:val="0"/>
          <w:bCs w:val="0"/>
          <w:spacing w:val="-4"/>
          <w:sz w:val="28"/>
          <w:szCs w:val="28"/>
          <w:highlight w:val="none"/>
        </w:rPr>
        <w:t xml:space="preserve">одом количество получателей государственной поддержки не изменилось, сумма чистой прибыли </w:t>
      </w:r>
      <w:r>
        <w:rPr>
          <w:b w:val="0"/>
          <w:bCs w:val="0"/>
          <w:spacing w:val="-4"/>
          <w:sz w:val="28"/>
          <w:szCs w:val="28"/>
          <w:highlight w:val="none"/>
        </w:rPr>
        <w:t xml:space="preserve">выросла на 32,14 млн. рублей. Предприятие ООО «Сай-Кем», получившее субсидию на возмещение части затрат на приобретение техники и оборудования, завершило год с убытком,  так как затраты организации превысили полученные от хозяйственной деятельности доходы.</w:t>
      </w:r>
      <w:r>
        <w:rPr>
          <w:b w:val="0"/>
          <w:bCs w:val="0"/>
          <w:spacing w:val="-4"/>
          <w:sz w:val="28"/>
          <w:szCs w:val="28"/>
        </w:rPr>
      </w:r>
      <w:r/>
    </w:p>
    <w:p>
      <w:pPr>
        <w:pStyle w:val="884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П.6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 xml:space="preserve">Доля протяженности автомобильных дорог общего пользования местного значения, не отвечающих нормативным требованиям, в общей протяженности автомобильных дорог общего пользования местного значения</w:t>
      </w:r>
      <w:r>
        <w:rPr>
          <w:rFonts w:ascii="Times New Roman" w:hAnsi="Times New Roman" w:cs="Times New Roman"/>
          <w:b/>
          <w:sz w:val="26"/>
          <w:szCs w:val="26"/>
        </w:rPr>
        <w:t xml:space="preserve">.</w:t>
      </w:r>
      <w:r>
        <w:rPr>
          <w:rFonts w:ascii="Times New Roman" w:hAnsi="Times New Roman" w:cs="Times New Roman"/>
          <w:b/>
          <w:sz w:val="26"/>
          <w:szCs w:val="26"/>
        </w:rPr>
      </w:r>
      <w:r/>
    </w:p>
    <w:p>
      <w:pPr>
        <w:ind w:left="0" w:right="0" w:firstLine="709"/>
        <w:jc w:val="both"/>
        <w:spacing w:before="0" w:after="0" w:line="65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Общая протяженность дорог местного значения на 1.01.2023 года составляет 293,6 км, в том числ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е дороги, имеющие твердое покрытие 192,5 км. Протяженность дорог общего пользования местного значения, не отвечающих нормативным требованиям, на 1.01.2023 года составила - 173,2 км, их доля в общей протяженности дорого общего пользования местного значения 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59,0 %. Большая часть дорог общего пользования местного значения 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муниципального района имеют гравийное покрытие. Проведены ремонты за счет средств </w:t>
      </w:r>
      <w:r>
        <w:rPr>
          <w:rFonts w:ascii="Times New Roman" w:hAnsi="Times New Roman" w:eastAsia="Times New Roman" w:cs="Times New Roman"/>
          <w:color w:val="auto"/>
          <w:sz w:val="28"/>
        </w:rPr>
        <w:t xml:space="preserve">муниципального</w:t>
      </w:r>
      <w:r>
        <w:rPr>
          <w:rFonts w:ascii="Times New Roman" w:hAnsi="Times New Roman" w:eastAsia="Times New Roman" w:cs="Times New Roman"/>
          <w:color w:val="auto"/>
          <w:sz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дорожного фонда.</w:t>
      </w:r>
      <w:r/>
    </w:p>
    <w:p>
      <w:pPr>
        <w:ind w:left="0" w:right="0" w:firstLine="567"/>
        <w:jc w:val="both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В прогнозном периоде до 2025 года не планируется увеличение протяженности дорог общего пользования местного значения. В</w:t>
      </w:r>
      <w:r>
        <w:rPr>
          <w:rFonts w:ascii="Times New Roman" w:hAnsi="Times New Roman" w:eastAsia="Times New Roman" w:cs="Times New Roman"/>
          <w:color w:val="000000" w:themeColor="text1"/>
          <w:sz w:val="28"/>
        </w:rPr>
        <w:t xml:space="preserve"> 2023</w:t>
      </w:r>
      <w:r>
        <w:rPr>
          <w:rFonts w:ascii="Times New Roman" w:hAnsi="Times New Roman" w:eastAsia="Times New Roman" w:cs="Times New Roman"/>
          <w:color w:val="000000" w:themeColor="text1"/>
          <w:sz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году и плановый период до 2025 года будет проводиться ремонт дорог. Сокращение доли протяженности дорог, не отвечающих нормативным 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требованиям, в общей протяженности автодорог будет осуществляться за счёт ежегодных ремонтов не более 5 км дорог (в связи с нехваткой средств в муниципальном дорожном фонде). Резкое положительное изменение в показателях может зависеть только от поступления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 в бюджет района средств из республиканского бюджета Республики Алтай, направленных на ремонт автомобильных дорог.</w:t>
      </w:r>
      <w:r/>
    </w:p>
    <w:p>
      <w:pPr>
        <w:pStyle w:val="874"/>
        <w:ind w:firstLine="567"/>
        <w:jc w:val="both"/>
        <w:widowControl w:val="off"/>
        <w:rPr>
          <w:spacing w:val="-4"/>
          <w:sz w:val="26"/>
          <w:szCs w:val="26"/>
        </w:rPr>
      </w:pPr>
      <w:r>
        <w:rPr>
          <w:spacing w:val="-4"/>
          <w:sz w:val="26"/>
          <w:szCs w:val="26"/>
        </w:rPr>
      </w:r>
      <w:r/>
    </w:p>
    <w:p>
      <w:pPr>
        <w:pStyle w:val="874"/>
        <w:ind w:firstLine="567"/>
        <w:jc w:val="both"/>
        <w:widowControl w:val="off"/>
        <w:rPr>
          <w:b/>
          <w:bCs/>
          <w:sz w:val="26"/>
          <w:szCs w:val="26"/>
          <w:highlight w:val="none"/>
        </w:rPr>
      </w:pPr>
      <w:r>
        <w:rPr>
          <w:b/>
          <w:sz w:val="26"/>
          <w:szCs w:val="26"/>
        </w:rPr>
        <w:t xml:space="preserve">П.7</w:t>
      </w:r>
      <w:r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Доля населения, проживающего в населенных пунктах, не имеющих регулярного автобусного и (или) железнодорожного сообщения с административным центром городского округа (муниципального района), в общей численности населения городского округа</w:t>
      </w:r>
      <w:r>
        <w:rPr>
          <w:b/>
          <w:sz w:val="26"/>
          <w:szCs w:val="26"/>
        </w:rPr>
        <w:t xml:space="preserve"> (муниципального района).</w:t>
      </w:r>
      <w:r>
        <w:rPr>
          <w:b/>
          <w:sz w:val="26"/>
          <w:szCs w:val="26"/>
        </w:rPr>
      </w:r>
      <w:r/>
    </w:p>
    <w:p>
      <w:pPr>
        <w:ind w:firstLine="567"/>
        <w:jc w:val="both"/>
        <w:widowControl w:val="off"/>
        <w:rPr>
          <w:b/>
          <w:bCs/>
          <w:sz w:val="26"/>
          <w:szCs w:val="26"/>
          <w:highlight w:val="none"/>
        </w:rPr>
      </w:pPr>
      <w:r>
        <w:rPr>
          <w:b/>
          <w:bCs/>
          <w:sz w:val="26"/>
          <w:szCs w:val="26"/>
          <w:highlight w:val="none"/>
        </w:rPr>
      </w:r>
      <w:r>
        <w:rPr>
          <w:b/>
          <w:bCs/>
          <w:sz w:val="26"/>
          <w:szCs w:val="26"/>
          <w:highlight w:val="none"/>
        </w:rPr>
      </w:r>
      <w:r/>
    </w:p>
    <w:p>
      <w:pPr>
        <w:ind w:firstLine="567"/>
        <w:jc w:val="both"/>
        <w:widowControl w:val="off"/>
        <w:rPr>
          <w:b w:val="0"/>
          <w:bCs w:val="0"/>
          <w:i w:val="0"/>
          <w:sz w:val="26"/>
          <w:szCs w:val="26"/>
          <w:highlight w:val="none"/>
        </w:rPr>
      </w:pPr>
      <w:r>
        <w:rPr>
          <w:b w:val="0"/>
          <w:bCs w:val="0"/>
          <w:i w:val="0"/>
          <w:iCs w:val="0"/>
          <w:sz w:val="26"/>
          <w:szCs w:val="26"/>
          <w:highlight w:val="none"/>
        </w:rPr>
        <w:t xml:space="preserve"> 100 % населения, проживающих в населенных пунктах, имеют р</w:t>
      </w:r>
      <w:r>
        <w:rPr>
          <w:b w:val="0"/>
          <w:bCs w:val="0"/>
          <w:i w:val="0"/>
          <w:iCs w:val="0"/>
          <w:sz w:val="26"/>
          <w:szCs w:val="26"/>
          <w:highlight w:val="none"/>
        </w:rPr>
        <w:t xml:space="preserve">егулярное автобусное сообщение с административным центром. Данная услуга находит продвижение среди коммерческих структур. В комплексной программе социально- экономического развития муниципального образования запланировано строительство дороги на Казахстан.</w:t>
      </w:r>
      <w:r>
        <w:rPr>
          <w:b w:val="0"/>
          <w:bCs w:val="0"/>
          <w:i w:val="0"/>
          <w:sz w:val="26"/>
          <w:szCs w:val="26"/>
          <w:highlight w:val="none"/>
        </w:rPr>
        <w:t xml:space="preserve"> </w:t>
      </w:r>
      <w:r/>
    </w:p>
    <w:p>
      <w:pPr>
        <w:pStyle w:val="874"/>
        <w:ind w:firstLine="567"/>
        <w:jc w:val="both"/>
        <w:widowControl w:val="off"/>
        <w:rPr>
          <w:b/>
          <w:spacing w:val="-4"/>
          <w:sz w:val="26"/>
          <w:szCs w:val="26"/>
        </w:rPr>
      </w:pPr>
      <w:r>
        <w:rPr>
          <w:b/>
          <w:spacing w:val="-4"/>
          <w:sz w:val="26"/>
          <w:szCs w:val="26"/>
        </w:rPr>
      </w:r>
      <w:r/>
    </w:p>
    <w:p>
      <w:pPr>
        <w:pStyle w:val="874"/>
        <w:ind w:firstLine="567"/>
        <w:jc w:val="both"/>
        <w:widowControl w:val="off"/>
        <w:rPr>
          <w:b/>
          <w:spacing w:val="-4"/>
          <w:sz w:val="26"/>
          <w:szCs w:val="26"/>
        </w:rPr>
      </w:pPr>
      <w:r>
        <w:rPr>
          <w:b/>
          <w:spacing w:val="-4"/>
          <w:sz w:val="26"/>
          <w:szCs w:val="26"/>
        </w:rPr>
      </w:r>
      <w:r/>
    </w:p>
    <w:p>
      <w:pPr>
        <w:pStyle w:val="874"/>
        <w:ind w:firstLine="567"/>
        <w:jc w:val="both"/>
        <w:widowControl w:val="off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П</w:t>
      </w:r>
      <w:r>
        <w:rPr>
          <w:b/>
          <w:sz w:val="26"/>
          <w:szCs w:val="26"/>
        </w:rPr>
        <w:t xml:space="preserve">.8 Среднемесячная номинальная начисленная заработная плата работников</w:t>
      </w:r>
      <w:r>
        <w:rPr>
          <w:b/>
          <w:sz w:val="26"/>
          <w:szCs w:val="26"/>
        </w:rPr>
        <w:t xml:space="preserve">.</w:t>
      </w:r>
      <w:r>
        <w:rPr>
          <w:b/>
          <w:sz w:val="26"/>
          <w:szCs w:val="26"/>
        </w:rPr>
      </w:r>
      <w:r/>
    </w:p>
    <w:p>
      <w:pPr>
        <w:pStyle w:val="874"/>
        <w:ind w:firstLine="709"/>
        <w:jc w:val="both"/>
        <w:spacing w:line="276" w:lineRule="auto"/>
        <w:rPr>
          <w:bCs/>
          <w:i/>
          <w:color w:val="ff0000"/>
          <w:spacing w:val="-4"/>
          <w:sz w:val="26"/>
          <w:szCs w:val="26"/>
          <w:highlight w:val="none"/>
        </w:rPr>
      </w:pPr>
      <w:r>
        <w:rPr>
          <w:i/>
          <w:spacing w:val="-4"/>
          <w:sz w:val="26"/>
          <w:szCs w:val="26"/>
        </w:rPr>
        <w:t xml:space="preserve">крупных и сре</w:t>
      </w:r>
      <w:r>
        <w:rPr>
          <w:i/>
          <w:spacing w:val="-4"/>
          <w:sz w:val="26"/>
          <w:szCs w:val="26"/>
        </w:rPr>
        <w:t xml:space="preserve">дних предприятий и некоммерческ</w:t>
      </w:r>
      <w:r>
        <w:rPr>
          <w:i/>
          <w:spacing w:val="-4"/>
          <w:sz w:val="26"/>
          <w:szCs w:val="26"/>
        </w:rPr>
        <w:t xml:space="preserve">их организаций городского округа (муниципального района)</w:t>
      </w:r>
      <w:r>
        <w:rPr>
          <w:i/>
          <w:spacing w:val="-4"/>
          <w:sz w:val="26"/>
          <w:szCs w:val="26"/>
        </w:rPr>
        <w:t xml:space="preserve">: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color w:val="ff0000"/>
          <w:spacing w:val="-4"/>
          <w:sz w:val="26"/>
          <w:szCs w:val="26"/>
        </w:rPr>
      </w:r>
      <w:r/>
    </w:p>
    <w:p>
      <w:pPr>
        <w:ind w:left="0" w:right="0" w:firstLine="709"/>
        <w:jc w:val="both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Сре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днемесячная номинальная начисленная заработная плата работников крупных и средних предприятий и некоммерческих организаций в МО «Усть-Коксинский район» за 2022 г. составила 34009,40 руб., что на 16,3 % выше 2021 г. (29234,80 руб.). Увеличение показателя пр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оизошло за счет увеличения МРОТ и проведения индексации заработной платы. В 2023 г. ожидается незначительный рост заработной платы за счет повышения МРОТ.</w:t>
      </w:r>
      <w:r/>
    </w:p>
    <w:p>
      <w:pPr>
        <w:ind w:firstLine="709"/>
        <w:jc w:val="both"/>
        <w:spacing w:line="276" w:lineRule="auto"/>
        <w:rPr>
          <w:bCs/>
          <w:i/>
          <w:color w:val="ff0000"/>
          <w:spacing w:val="-4"/>
          <w:sz w:val="26"/>
          <w:szCs w:val="26"/>
        </w:rPr>
      </w:pPr>
      <w:r>
        <w:rPr>
          <w:i/>
          <w:color w:val="ff0000"/>
          <w:spacing w:val="-4"/>
          <w:sz w:val="26"/>
          <w:szCs w:val="26"/>
          <w:highlight w:val="none"/>
        </w:rPr>
      </w:r>
      <w:r>
        <w:rPr>
          <w:i/>
          <w:color w:val="ff0000"/>
          <w:spacing w:val="-4"/>
          <w:sz w:val="26"/>
          <w:szCs w:val="26"/>
          <w:highlight w:val="none"/>
        </w:rPr>
      </w:r>
      <w:r/>
    </w:p>
    <w:p>
      <w:pPr>
        <w:pStyle w:val="874"/>
        <w:ind w:firstLine="709"/>
        <w:jc w:val="both"/>
        <w:spacing w:line="276" w:lineRule="auto"/>
        <w:rPr>
          <w:i/>
          <w:spacing w:val="-4"/>
          <w:sz w:val="26"/>
          <w:szCs w:val="26"/>
        </w:rPr>
      </w:pPr>
      <w:r>
        <w:rPr>
          <w:i/>
          <w:spacing w:val="-4"/>
          <w:sz w:val="26"/>
          <w:szCs w:val="26"/>
        </w:rPr>
        <w:t xml:space="preserve">муниципальных дошкольных образовательных организаций</w:t>
      </w:r>
      <w:r>
        <w:rPr>
          <w:i/>
          <w:spacing w:val="-4"/>
          <w:sz w:val="26"/>
          <w:szCs w:val="26"/>
        </w:rPr>
        <w:t xml:space="preserve">:</w:t>
      </w:r>
      <w:r>
        <w:rPr>
          <w:i/>
          <w:spacing w:val="-4"/>
          <w:sz w:val="26"/>
          <w:szCs w:val="26"/>
        </w:rPr>
      </w:r>
      <w:r/>
    </w:p>
    <w:p>
      <w:pPr>
        <w:ind w:left="0" w:right="0" w:firstLine="709"/>
        <w:jc w:val="both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средн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емесячная номинальная начисленная заработная плата работников в муниципальных дошкольных образовательных организациях МО «Усть-Коксинский район» за 2022 г. составила 28698,3 руб., что на 13,9 % выше чем в 2021 г. (25179,9 руб.). Увеличение показателя произ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ошло за счет увеличения МРОТ и проведения индексации заработной платы. В 2023 - 2024 гг. ожидается незначительный рост заработной платы за счет повышения МРОТ.</w:t>
      </w:r>
      <w:r/>
    </w:p>
    <w:p>
      <w:pPr>
        <w:pStyle w:val="874"/>
        <w:ind w:firstLine="0"/>
        <w:jc w:val="both"/>
        <w:spacing w:line="276" w:lineRule="auto"/>
        <w:rPr>
          <w:i/>
          <w:spacing w:val="-4"/>
          <w:sz w:val="26"/>
          <w:szCs w:val="26"/>
        </w:rPr>
      </w:pPr>
      <w:r>
        <w:rPr>
          <w:i/>
          <w:spacing w:val="-4"/>
          <w:sz w:val="26"/>
          <w:szCs w:val="26"/>
        </w:rPr>
      </w:r>
      <w:r/>
    </w:p>
    <w:p>
      <w:pPr>
        <w:pStyle w:val="874"/>
        <w:ind w:firstLine="709"/>
        <w:jc w:val="both"/>
        <w:spacing w:line="276" w:lineRule="auto"/>
        <w:rPr>
          <w:i/>
          <w:spacing w:val="-4"/>
          <w:sz w:val="26"/>
          <w:szCs w:val="26"/>
        </w:rPr>
      </w:pPr>
      <w:r>
        <w:rPr>
          <w:i/>
          <w:spacing w:val="-4"/>
          <w:sz w:val="26"/>
          <w:szCs w:val="26"/>
        </w:rPr>
        <w:t xml:space="preserve">муниципальных общеобразовательных учреждений</w:t>
      </w:r>
      <w:r>
        <w:rPr>
          <w:i/>
          <w:spacing w:val="-4"/>
          <w:sz w:val="26"/>
          <w:szCs w:val="26"/>
        </w:rPr>
        <w:t xml:space="preserve">:</w:t>
      </w:r>
      <w:r>
        <w:rPr>
          <w:i/>
          <w:spacing w:val="-4"/>
          <w:sz w:val="26"/>
          <w:szCs w:val="26"/>
        </w:rPr>
      </w:r>
      <w:r/>
    </w:p>
    <w:p>
      <w:pPr>
        <w:ind w:left="0" w:right="0" w:firstLine="709"/>
        <w:jc w:val="both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среднемесячная номинальная начисленная заработная плата работников в муниципальных общеобразовательных организациях МО «Усть-Коксинский район» за 2022 г. составила 35589,1 руб., что на 16,2 % выше чем в  2021 г. (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30619,1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 руб.). Увеличение показателя произошло з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а счет увеличения МРОТ, за счет ежемесячной выплаты за классное руководство из федерального бюджета в размере 5000 руб.,  и проведения индексации заработной платы. В 2023 - 2024 гг. ожидается незначительный рост заработной платы за счет повышения МРОТ.</w:t>
      </w:r>
      <w:r/>
    </w:p>
    <w:p>
      <w:pPr>
        <w:pStyle w:val="874"/>
        <w:ind w:firstLine="0"/>
        <w:jc w:val="both"/>
        <w:spacing w:line="276" w:lineRule="auto"/>
        <w:rPr>
          <w:i/>
          <w:spacing w:val="-4"/>
          <w:sz w:val="26"/>
          <w:szCs w:val="26"/>
        </w:rPr>
      </w:pPr>
      <w:r>
        <w:rPr>
          <w:i/>
          <w:spacing w:val="-4"/>
          <w:sz w:val="26"/>
          <w:szCs w:val="26"/>
        </w:rPr>
      </w:r>
      <w:r/>
    </w:p>
    <w:p>
      <w:pPr>
        <w:pStyle w:val="874"/>
        <w:ind w:firstLine="709"/>
        <w:jc w:val="both"/>
        <w:spacing w:line="276" w:lineRule="auto"/>
        <w:rPr>
          <w:i/>
          <w:spacing w:val="-4"/>
          <w:sz w:val="26"/>
          <w:szCs w:val="26"/>
        </w:rPr>
      </w:pPr>
      <w:r>
        <w:rPr>
          <w:i/>
          <w:spacing w:val="-4"/>
          <w:sz w:val="26"/>
          <w:szCs w:val="26"/>
        </w:rPr>
        <w:t xml:space="preserve">учителей муниципальных общеобразовательных учреждений</w:t>
      </w:r>
      <w:r>
        <w:rPr>
          <w:i/>
          <w:spacing w:val="-4"/>
          <w:sz w:val="26"/>
          <w:szCs w:val="26"/>
        </w:rPr>
        <w:t xml:space="preserve">:</w:t>
      </w:r>
      <w:r>
        <w:rPr>
          <w:i/>
          <w:spacing w:val="-4"/>
          <w:sz w:val="26"/>
          <w:szCs w:val="26"/>
        </w:rPr>
      </w:r>
      <w:r/>
    </w:p>
    <w:p>
      <w:pPr>
        <w:ind w:left="0" w:right="0" w:firstLine="709"/>
        <w:jc w:val="both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среднемесячная номинальная начисленная заработная плата учителей  муниципальных общеобразовательных организациях МО «Усть-Коксинский район» за 2022 г. составила 40117,9 руб., что на 18,1 % выше чем в 2021 г. (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33 950,6 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руб.). Увеличение показателя произошло за сч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ет увеличения МРОТ, за счет ежемесячной выплаты за классное руководство из федерального бюджета в размере 5000 рублей,  и проведения индексации заработной платы. В 2023 - 2024 гг. ожидается незначительный рост заработной платы за счет повышения МРОТ.</w:t>
      </w:r>
      <w:r/>
    </w:p>
    <w:p>
      <w:pPr>
        <w:pStyle w:val="874"/>
        <w:ind w:firstLine="709"/>
        <w:jc w:val="both"/>
        <w:spacing w:line="276" w:lineRule="auto"/>
        <w:rPr>
          <w:i/>
          <w:spacing w:val="-4"/>
          <w:sz w:val="26"/>
          <w:szCs w:val="26"/>
        </w:rPr>
      </w:pPr>
      <w:r>
        <w:rPr>
          <w:i/>
          <w:spacing w:val="-4"/>
          <w:sz w:val="26"/>
          <w:szCs w:val="26"/>
        </w:rPr>
      </w:r>
      <w:r/>
    </w:p>
    <w:p>
      <w:pPr>
        <w:pStyle w:val="874"/>
        <w:ind w:firstLine="709"/>
        <w:jc w:val="both"/>
        <w:spacing w:line="276" w:lineRule="auto"/>
        <w:rPr>
          <w:i/>
          <w:spacing w:val="-4"/>
          <w:sz w:val="26"/>
          <w:szCs w:val="26"/>
        </w:rPr>
      </w:pPr>
      <w:r>
        <w:rPr>
          <w:i/>
          <w:spacing w:val="-4"/>
          <w:sz w:val="26"/>
          <w:szCs w:val="26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pacing w:val="-4"/>
          <w:sz w:val="28"/>
        </w:rPr>
        <w:t xml:space="preserve">Среднемесячная номинальная заработная плата работников </w:t>
      </w:r>
      <w:r>
        <w:rPr>
          <w:rFonts w:ascii="Times New Roman" w:hAnsi="Times New Roman" w:eastAsia="Times New Roman" w:cs="Times New Roman"/>
          <w:i/>
          <w:iCs/>
          <w:color w:val="ff0000"/>
          <w:spacing w:val="-4"/>
          <w:sz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pacing w:val="-4"/>
          <w:sz w:val="28"/>
        </w:rPr>
        <w:t xml:space="preserve">муниципальных учреждений культуры увеличилась с 30269,30 рублей до 31169,00 рублей, что на 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3,0 % 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выше чем в 2021 года за счет достижения показателей уровня оплаты труда работников культуры в целях реализации указов Президента Российской Федерации 2012 г. В 2023 году планируется обеспечить номинальную начисленную заработную плату не ниже 37704,91 рубле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й</w:t>
      </w:r>
      <w:r>
        <w:rPr>
          <w:i/>
          <w:spacing w:val="-4"/>
          <w:sz w:val="26"/>
          <w:szCs w:val="26"/>
        </w:rPr>
        <w:t xml:space="preserve">.</w:t>
      </w:r>
      <w:r/>
      <w:r>
        <w:rPr>
          <w:i/>
          <w:spacing w:val="-4"/>
          <w:sz w:val="26"/>
          <w:szCs w:val="26"/>
        </w:rPr>
      </w:r>
      <w:r/>
      <w:r>
        <w:rPr>
          <w:i/>
          <w:spacing w:val="-4"/>
          <w:sz w:val="26"/>
          <w:szCs w:val="26"/>
        </w:rPr>
      </w:r>
    </w:p>
    <w:p>
      <w:pPr>
        <w:pStyle w:val="874"/>
        <w:ind w:firstLine="709"/>
        <w:jc w:val="both"/>
        <w:spacing w:line="276" w:lineRule="auto"/>
        <w:rPr>
          <w:i/>
          <w:spacing w:val="-4"/>
          <w:sz w:val="26"/>
          <w:szCs w:val="26"/>
        </w:rPr>
      </w:pPr>
      <w:r>
        <w:rPr>
          <w:i/>
          <w:spacing w:val="-4"/>
          <w:sz w:val="26"/>
          <w:szCs w:val="26"/>
        </w:rPr>
      </w:r>
      <w:r/>
    </w:p>
    <w:p>
      <w:pPr>
        <w:pStyle w:val="874"/>
        <w:numPr>
          <w:ilvl w:val="0"/>
          <w:numId w:val="4"/>
        </w:numPr>
        <w:jc w:val="center"/>
        <w:tabs>
          <w:tab w:val="center" w:pos="993" w:leader="none"/>
        </w:tabs>
        <w:rPr>
          <w:b/>
          <w:sz w:val="26"/>
          <w:szCs w:val="26"/>
          <w:lang w:eastAsia="ru-RU"/>
        </w:rPr>
      </w:pPr>
      <w:r>
        <w:rPr>
          <w:b/>
          <w:sz w:val="26"/>
          <w:szCs w:val="26"/>
          <w:lang w:eastAsia="ru-RU"/>
        </w:rPr>
        <w:t xml:space="preserve">Дошкольное образование</w:t>
      </w:r>
      <w:r/>
      <w:r>
        <w:rPr>
          <w:sz w:val="26"/>
          <w:szCs w:val="26"/>
          <w:lang w:eastAsia="ru-RU"/>
        </w:rPr>
      </w:r>
      <w:r/>
      <w:r>
        <w:rPr>
          <w:b/>
          <w:sz w:val="26"/>
          <w:szCs w:val="26"/>
          <w:lang w:eastAsia="ru-RU"/>
        </w:rPr>
      </w:r>
    </w:p>
    <w:p>
      <w:pPr>
        <w:pStyle w:val="874"/>
        <w:ind w:firstLine="709"/>
        <w:jc w:val="both"/>
        <w:rPr>
          <w:b/>
          <w:sz w:val="26"/>
          <w:szCs w:val="26"/>
        </w:rPr>
      </w:pPr>
      <w:r>
        <w:rPr>
          <w:b/>
          <w:sz w:val="26"/>
          <w:szCs w:val="26"/>
          <w:lang w:eastAsia="ru-RU"/>
        </w:rPr>
        <w:t xml:space="preserve">П. 9 Доля детей в возрасте 1-6 лет, получающих дошкольную образовательную услугу и (или) услугу по их содержанию в муниципальных образовательных учреждениях в общей численности детей в возрасте 1-6 лет</w:t>
      </w:r>
      <w:r>
        <w:rPr>
          <w:b/>
          <w:sz w:val="26"/>
          <w:szCs w:val="26"/>
          <w:lang w:eastAsia="ru-RU"/>
        </w:rPr>
        <w:t xml:space="preserve">.</w:t>
      </w:r>
      <w:r>
        <w:rPr>
          <w:b/>
          <w:sz w:val="26"/>
          <w:szCs w:val="26"/>
          <w:lang w:eastAsia="ru-RU"/>
        </w:rPr>
      </w:r>
      <w:r/>
    </w:p>
    <w:p>
      <w:pPr>
        <w:ind w:left="0" w:right="0" w:firstLine="709"/>
        <w:jc w:val="both"/>
        <w:spacing w:before="0" w:after="0"/>
        <w:rPr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6"/>
          <w:szCs w:val="26"/>
        </w:rPr>
        <w:t xml:space="preserve">Образовател</w:t>
      </w:r>
      <w:r>
        <w:rPr>
          <w:rFonts w:ascii="Times New Roman" w:hAnsi="Times New Roman" w:eastAsia="Times New Roman" w:cs="Times New Roman"/>
          <w:color w:val="000000"/>
          <w:sz w:val="26"/>
          <w:szCs w:val="26"/>
        </w:rPr>
        <w:t xml:space="preserve">ьная деятельность, присмотр и уход за детьми в возрасте от 1 до 6 лет  в МО «Усть-Коксинский район» осуществляется 26 муниципальными детскими садами (филиалами общеобразовательных организаций), 4 группами кратковременного пребывания и 3 семейными группами.</w:t>
      </w:r>
      <w:r>
        <w:rPr>
          <w:sz w:val="26"/>
          <w:szCs w:val="26"/>
        </w:rPr>
      </w:r>
      <w:r/>
    </w:p>
    <w:p>
      <w:pPr>
        <w:ind w:left="0" w:right="0" w:firstLine="709"/>
        <w:jc w:val="both"/>
        <w:spacing w:before="0" w:after="0"/>
        <w:rPr>
          <w:color w:val="ff0000"/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6"/>
          <w:szCs w:val="26"/>
        </w:rPr>
        <w:t xml:space="preserve">Всего</w:t>
      </w:r>
      <w:r>
        <w:rPr>
          <w:rFonts w:ascii="Times New Roman" w:hAnsi="Times New Roman" w:eastAsia="Times New Roman" w:cs="Times New Roman"/>
          <w:color w:val="000000"/>
          <w:sz w:val="26"/>
          <w:szCs w:val="26"/>
        </w:rPr>
        <w:t xml:space="preserve"> дошкольным образованием в МО «Усть-Коксинский район» охвачено 1050 воспитанников в возрасте от 1 до 6 лет. Доля детей в возрасте 1-6 лет, получающих дошкольную образовательную услугу по их содержанию в муниципальных образовательных организациях в общей чи</w:t>
      </w:r>
      <w:r>
        <w:rPr>
          <w:rFonts w:ascii="Times New Roman" w:hAnsi="Times New Roman" w:eastAsia="Times New Roman" w:cs="Times New Roman"/>
          <w:color w:val="000000"/>
          <w:sz w:val="26"/>
          <w:szCs w:val="26"/>
        </w:rPr>
        <w:t xml:space="preserve">сленности детей в возрасте 1-6 лет в 2022 г. увеличилась на 4,9 % по сравнению с 2021 г. (71,679 %) и составила 76,6 %. </w:t>
      </w:r>
      <w:r>
        <w:rPr>
          <w:color w:val="ff0000"/>
        </w:rPr>
      </w:r>
      <w:r/>
    </w:p>
    <w:p>
      <w:pPr>
        <w:pStyle w:val="874"/>
        <w:jc w:val="both"/>
        <w:rPr>
          <w:b/>
          <w:color w:val="ff0000"/>
          <w:sz w:val="26"/>
          <w:szCs w:val="26"/>
        </w:rPr>
      </w:pPr>
      <w:r>
        <w:rPr>
          <w:b/>
          <w:color w:val="ff0000"/>
          <w:sz w:val="26"/>
          <w:szCs w:val="26"/>
        </w:rPr>
      </w:r>
      <w:r>
        <w:rPr>
          <w:color w:val="ff0000"/>
        </w:rPr>
      </w:r>
      <w:r/>
    </w:p>
    <w:p>
      <w:pPr>
        <w:pStyle w:val="874"/>
        <w:ind w:firstLine="567"/>
        <w:jc w:val="both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П. 10 Доля детей в возрасте 1-6 лет, состоящих на учете для определения в муниципальные дошкольные образовательные учреждения, в общей численности детей в возрасте 1-6 лет</w:t>
      </w:r>
      <w:r>
        <w:rPr>
          <w:b/>
          <w:color w:val="000000"/>
          <w:sz w:val="26"/>
          <w:szCs w:val="26"/>
        </w:rPr>
        <w:t xml:space="preserve">.</w:t>
      </w:r>
      <w:r>
        <w:rPr>
          <w:sz w:val="26"/>
          <w:szCs w:val="26"/>
        </w:rPr>
      </w:r>
      <w:r/>
    </w:p>
    <w:p>
      <w:pPr>
        <w:ind w:left="0" w:right="0" w:firstLine="444"/>
        <w:jc w:val="both"/>
        <w:spacing w:before="0" w:after="0"/>
        <w:rPr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6"/>
          <w:szCs w:val="26"/>
        </w:rPr>
        <w:t xml:space="preserve">Доля детей в возр</w:t>
      </w:r>
      <w:r>
        <w:rPr>
          <w:rFonts w:ascii="Times New Roman" w:hAnsi="Times New Roman" w:eastAsia="Times New Roman" w:cs="Times New Roman"/>
          <w:color w:val="000000"/>
          <w:sz w:val="26"/>
          <w:szCs w:val="26"/>
        </w:rPr>
        <w:t xml:space="preserve">асте от 1 до 6 лет, состоящих на учете для определения в муниципальные дошкольные образовательные учреждения, в общей численности детей в возрасте 1-6 лет по состоянию на 01.01.2023 г. составила 9,4 %, по сравнению с 2021 годом увеличилась на 5,4 </w:t>
      </w:r>
      <w:r>
        <w:rPr>
          <w:rFonts w:ascii="Times New Roman" w:hAnsi="Times New Roman" w:eastAsia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eastAsia="Times New Roman" w:cs="Times New Roman"/>
          <w:color w:val="000000" w:themeColor="text1"/>
          <w:sz w:val="26"/>
          <w:szCs w:val="26"/>
        </w:rPr>
        <w:t xml:space="preserve"> п.п.</w:t>
      </w:r>
      <w:r>
        <w:rPr>
          <w:rFonts w:ascii="Times New Roman" w:hAnsi="Times New Roman" w:eastAsia="Times New Roman" w:cs="Times New Roman"/>
          <w:color w:val="000000"/>
          <w:sz w:val="26"/>
          <w:szCs w:val="26"/>
        </w:rPr>
        <w:t xml:space="preserve"> (4,0%).</w:t>
      </w:r>
      <w:r>
        <w:rPr>
          <w:sz w:val="26"/>
          <w:szCs w:val="26"/>
        </w:rPr>
      </w:r>
      <w:r/>
    </w:p>
    <w:p>
      <w:pPr>
        <w:ind w:left="0" w:right="0" w:firstLine="444"/>
        <w:jc w:val="both"/>
        <w:spacing w:before="0" w:after="0"/>
        <w:rPr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6"/>
          <w:szCs w:val="26"/>
        </w:rPr>
        <w:t xml:space="preserve">Численность детей в возрасте 1-6 лет, поставленных на учет для предоставления места в муниципальных дошкольных образовательных организациях, на 01.01.2023 г. составила 130 человек, что  на 67 человек больше, чем в 2021 году (на 01.01.2022 г. - 63 чел.). </w:t>
      </w:r>
      <w:r>
        <w:rPr>
          <w:sz w:val="26"/>
          <w:szCs w:val="26"/>
        </w:rPr>
      </w:r>
      <w:r/>
    </w:p>
    <w:p>
      <w:pPr>
        <w:ind w:left="0" w:right="0" w:firstLine="444"/>
        <w:jc w:val="both"/>
        <w:spacing w:before="0" w:after="0"/>
        <w:rPr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6"/>
          <w:szCs w:val="26"/>
        </w:rPr>
        <w:t xml:space="preserve">В целях увеличения охвата детей дошкольным образованием в муниципальном образовании «Усть-Коксинский район» планируется дальнейшее развитие вариативных форм получения дошкольного образования, таких как: группа кратковременного пребывания, семейные воспитат</w:t>
      </w:r>
      <w:r>
        <w:rPr>
          <w:rFonts w:ascii="Times New Roman" w:hAnsi="Times New Roman" w:eastAsia="Times New Roman" w:cs="Times New Roman"/>
          <w:color w:val="000000"/>
          <w:sz w:val="26"/>
          <w:szCs w:val="26"/>
        </w:rPr>
        <w:t xml:space="preserve">ельные группы. </w:t>
      </w:r>
      <w:r>
        <w:rPr>
          <w:sz w:val="26"/>
          <w:szCs w:val="26"/>
        </w:rPr>
      </w:r>
      <w:r/>
    </w:p>
    <w:p>
      <w:pPr>
        <w:ind w:left="0" w:right="0" w:firstLine="420"/>
        <w:jc w:val="both"/>
        <w:spacing w:before="0" w:after="0"/>
        <w:shd w:val="clear" w:color="ffffff" w:themeColor="background1" w:fill="ffffff" w:themeFill="background1"/>
        <w:rPr>
          <w:sz w:val="26"/>
          <w:szCs w:val="26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6"/>
          <w:szCs w:val="26"/>
          <w:highlight w:val="white"/>
        </w:rPr>
        <w:t xml:space="preserve"> Все дети, состоящие на учете для предоставления места в ДОО, обеспечены местами (актуальная очередь на 01.01.2023 г. – 0).</w:t>
      </w:r>
      <w:r>
        <w:rPr>
          <w:rFonts w:ascii="Times New Roman" w:hAnsi="Times New Roman" w:eastAsia="Times New Roman" w:cs="Times New Roman"/>
          <w:color w:val="000000"/>
          <w:sz w:val="26"/>
          <w:szCs w:val="26"/>
          <w:highlight w:val="white"/>
        </w:rPr>
        <w:t xml:space="preserve">  </w:t>
      </w:r>
      <w:r>
        <w:rPr>
          <w:sz w:val="26"/>
          <w:szCs w:val="26"/>
          <w:highlight w:val="white"/>
        </w:rPr>
      </w:r>
      <w:r/>
    </w:p>
    <w:p>
      <w:pPr>
        <w:pStyle w:val="87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  <w:r>
        <w:rPr>
          <w:sz w:val="26"/>
          <w:szCs w:val="26"/>
        </w:rPr>
      </w:r>
      <w:r/>
    </w:p>
    <w:p>
      <w:pPr>
        <w:pStyle w:val="883"/>
        <w:ind w:left="0" w:firstLine="567"/>
        <w:jc w:val="both"/>
        <w:spacing w:after="0" w:line="240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П. 11 Доля муниципальных дошкольных общеобразовательных учреждений, здания которых находятся в аварийном состоянии или требуют капитального ремонта, в общем числе муниципальных дошкольных общеобразовательных учреждений</w:t>
      </w:r>
      <w:r>
        <w:rPr>
          <w:rFonts w:ascii="Times New Roman" w:hAnsi="Times New Roman"/>
          <w:b/>
          <w:sz w:val="26"/>
          <w:szCs w:val="26"/>
          <w:lang w:val="ru-RU"/>
        </w:rPr>
        <w:t xml:space="preserve">.</w:t>
      </w:r>
      <w:r>
        <w:rPr>
          <w:sz w:val="26"/>
          <w:szCs w:val="26"/>
        </w:rPr>
      </w:r>
      <w:r/>
    </w:p>
    <w:p>
      <w:pPr>
        <w:pStyle w:val="883"/>
        <w:ind w:left="0" w:firstLine="567"/>
        <w:jc w:val="both"/>
        <w:spacing w:after="0" w:line="240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</w:r>
      <w:r>
        <w:rPr>
          <w:sz w:val="26"/>
          <w:szCs w:val="26"/>
        </w:rPr>
      </w:r>
      <w:r/>
    </w:p>
    <w:p>
      <w:pPr>
        <w:ind w:left="0" w:right="0" w:firstLine="0"/>
        <w:jc w:val="both"/>
        <w:spacing w:before="0" w:after="0"/>
        <w:rPr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6"/>
          <w:szCs w:val="26"/>
        </w:rPr>
        <w:t xml:space="preserve">  В 2022 году в МО «Усть-Коксинский район»  в аварийном состоянии (техническое состояние этих зданий (физический износ зданий более 60%) оценивается категорией «недопустимое») </w:t>
      </w:r>
      <w:r>
        <w:rPr>
          <w:rFonts w:ascii="Times New Roman" w:hAnsi="Times New Roman" w:eastAsia="Times New Roman" w:cs="Times New Roman"/>
          <w:color w:val="000000"/>
          <w:sz w:val="26"/>
          <w:szCs w:val="26"/>
        </w:rPr>
        <w:t xml:space="preserve">находятся 46,1 %</w:t>
      </w:r>
      <w:r>
        <w:rPr>
          <w:rFonts w:ascii="Times New Roman" w:hAnsi="Times New Roman" w:eastAsia="Times New Roman" w:cs="Times New Roman"/>
          <w:color w:val="000000"/>
          <w:sz w:val="26"/>
          <w:szCs w:val="26"/>
        </w:rPr>
        <w:t xml:space="preserve"> дошкольных образовательных организаций:</w:t>
      </w:r>
      <w:r>
        <w:rPr>
          <w:sz w:val="26"/>
          <w:szCs w:val="26"/>
        </w:rPr>
      </w:r>
      <w:r/>
    </w:p>
    <w:p>
      <w:pPr>
        <w:ind w:left="0" w:right="0" w:firstLine="0"/>
        <w:jc w:val="both"/>
        <w:spacing w:before="0" w:after="0"/>
        <w:rPr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6"/>
          <w:szCs w:val="26"/>
        </w:rPr>
        <w:t xml:space="preserve">1) филиал детский сад «Дюймовочка» </w:t>
      </w:r>
      <w:r>
        <w:rPr>
          <w:rFonts w:ascii="Times New Roman" w:hAnsi="Times New Roman" w:eastAsia="Times New Roman" w:cs="Times New Roman"/>
          <w:color w:val="000000"/>
          <w:sz w:val="26"/>
          <w:szCs w:val="26"/>
        </w:rPr>
        <w:t xml:space="preserve">МБОУ «Карагайская ООШ</w:t>
      </w:r>
      <w:r>
        <w:rPr>
          <w:rFonts w:ascii="Times New Roman" w:hAnsi="Times New Roman" w:eastAsia="Times New Roman" w:cs="Times New Roman"/>
          <w:color w:val="000000"/>
          <w:sz w:val="26"/>
          <w:szCs w:val="26"/>
        </w:rPr>
        <w:t xml:space="preserve">» (1971 г. постройки), - согласно техпаспорта </w:t>
      </w:r>
      <w:r>
        <w:rPr>
          <w:rFonts w:ascii="Times New Roman" w:hAnsi="Times New Roman" w:eastAsia="Times New Roman" w:cs="Times New Roman"/>
          <w:i/>
          <w:color w:val="000000"/>
          <w:sz w:val="26"/>
          <w:szCs w:val="26"/>
        </w:rPr>
        <w:t xml:space="preserve">по состоянию на 23 июля 2009г.</w:t>
      </w:r>
      <w:r>
        <w:rPr>
          <w:rFonts w:ascii="Times New Roman" w:hAnsi="Times New Roman" w:eastAsia="Times New Roman" w:cs="Times New Roman"/>
          <w:color w:val="000000"/>
          <w:sz w:val="26"/>
          <w:szCs w:val="26"/>
        </w:rPr>
        <w:t xml:space="preserve"> процент износа здания составлял 52% (ограждение – 32%)),»; </w:t>
      </w:r>
      <w:r>
        <w:rPr>
          <w:sz w:val="26"/>
          <w:szCs w:val="26"/>
        </w:rPr>
      </w:r>
      <w:r/>
    </w:p>
    <w:p>
      <w:pPr>
        <w:ind w:left="0" w:right="0" w:firstLine="0"/>
        <w:jc w:val="both"/>
        <w:spacing w:before="0" w:after="0"/>
        <w:rPr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6"/>
          <w:szCs w:val="26"/>
        </w:rPr>
        <w:t xml:space="preserve">2) филиал детский сад «Родничок» МБОУ «Тихоньская ООШ» согласно технического заключения № 06-05-18/Т находится в аварийном состоянии;</w:t>
      </w:r>
      <w:r>
        <w:rPr>
          <w:sz w:val="26"/>
          <w:szCs w:val="26"/>
        </w:rPr>
      </w:r>
      <w:r/>
    </w:p>
    <w:p>
      <w:pPr>
        <w:ind w:left="0" w:right="0" w:firstLine="0"/>
        <w:jc w:val="both"/>
        <w:spacing w:before="0" w:after="0"/>
        <w:rPr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6"/>
          <w:szCs w:val="26"/>
        </w:rPr>
        <w:t xml:space="preserve">3) филиал детский сад «Огоньки» МБОУ «Мультинская СОШ», </w:t>
      </w:r>
      <w:r>
        <w:rPr>
          <w:sz w:val="26"/>
          <w:szCs w:val="26"/>
        </w:rPr>
      </w:r>
      <w:r/>
    </w:p>
    <w:p>
      <w:pPr>
        <w:ind w:left="0" w:right="0" w:firstLine="0"/>
        <w:jc w:val="both"/>
        <w:spacing w:before="0" w:after="0"/>
        <w:rPr>
          <w:rFonts w:ascii="Times New Roman" w:hAnsi="Times New Roman" w:eastAsia="Times New Roman" w:cs="Times New Roman"/>
          <w:color w:val="000000"/>
          <w:sz w:val="26"/>
          <w:szCs w:val="26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6"/>
          <w:szCs w:val="26"/>
        </w:rPr>
        <w:t xml:space="preserve">4) филиал детский сад «Солнышко» МБОУ «Талдинская СОШ» Заключение эксперта ФГУП «Ростехинвентаризация – Федеральное БТИ» № 071/071116 от 07.11.2016 г. «дальнейшая эксплуатация представляет опасность из-за большого физического износа здания и несоответствия</w:t>
      </w:r>
      <w:r>
        <w:rPr>
          <w:rFonts w:ascii="Times New Roman" w:hAnsi="Times New Roman" w:eastAsia="Times New Roman" w:cs="Times New Roman"/>
          <w:color w:val="000000"/>
          <w:sz w:val="26"/>
          <w:szCs w:val="26"/>
        </w:rPr>
        <w:t xml:space="preserve"> пожарным требованиям». Решением Усть-Коксинского районного суда Республики Алтай № 2-326/2021 вынесено решение о запрете эксплуатации здания детского сада. </w:t>
      </w:r>
      <w:r>
        <w:rPr>
          <w:sz w:val="26"/>
          <w:szCs w:val="26"/>
        </w:rPr>
      </w:r>
      <w:r/>
    </w:p>
    <w:p>
      <w:pPr>
        <w:ind w:left="0" w:right="0" w:firstLine="0"/>
        <w:jc w:val="both"/>
        <w:spacing w:before="0" w:after="0"/>
        <w:rPr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sz w:val="26"/>
          <w:szCs w:val="26"/>
        </w:rPr>
      </w:r>
      <w:r>
        <w:rPr>
          <w:sz w:val="26"/>
          <w:szCs w:val="26"/>
        </w:rPr>
      </w:r>
      <w:r/>
    </w:p>
    <w:p>
      <w:pPr>
        <w:ind w:left="0" w:right="0" w:firstLine="0"/>
        <w:jc w:val="both"/>
        <w:spacing w:before="0" w:after="0"/>
        <w:rPr>
          <w:sz w:val="26"/>
          <w:szCs w:val="26"/>
          <w:highlight w:val="yellow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6"/>
          <w:szCs w:val="26"/>
        </w:rPr>
        <w:t xml:space="preserve">  Здания дошкольных организаций, построенные до 80-х годов и не проходившие капитального ремонта, ветшают. В 2022 г. к категории требующих капитального ремонта от</w:t>
      </w:r>
      <w:r>
        <w:rPr>
          <w:rFonts w:ascii="Times New Roman" w:hAnsi="Times New Roman" w:eastAsia="Times New Roman" w:cs="Times New Roman"/>
          <w:color w:val="000000"/>
          <w:sz w:val="26"/>
          <w:szCs w:val="26"/>
        </w:rPr>
        <w:t xml:space="preserve">несено 34,6 % зданий дошкольных образовательных организаций района – это 9 зданий филиалов.</w:t>
      </w:r>
      <w:r>
        <w:rPr>
          <w:sz w:val="26"/>
          <w:szCs w:val="26"/>
        </w:rPr>
        <w:t xml:space="preserve">  </w:t>
      </w:r>
      <w:r/>
    </w:p>
    <w:p>
      <w:pPr>
        <w:ind w:left="0" w:right="0" w:firstLine="0"/>
        <w:jc w:val="both"/>
        <w:spacing w:before="0" w:after="0"/>
        <w:rPr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6"/>
          <w:szCs w:val="26"/>
        </w:rPr>
        <w:t xml:space="preserve">Требуют капитального ремонта следующие филиалы:</w:t>
      </w:r>
      <w:r>
        <w:rPr>
          <w:sz w:val="26"/>
          <w:szCs w:val="26"/>
        </w:rPr>
      </w:r>
      <w:r/>
    </w:p>
    <w:p>
      <w:pPr>
        <w:ind w:left="0" w:right="0" w:firstLine="0"/>
        <w:jc w:val="both"/>
        <w:spacing w:before="0" w:after="0"/>
        <w:rPr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6"/>
          <w:szCs w:val="26"/>
        </w:rPr>
        <w:t xml:space="preserve">филиал детский сад «Колокольчик» МБОУ «Верх-Уймонская СОШ»;</w:t>
      </w:r>
      <w:r>
        <w:rPr>
          <w:sz w:val="26"/>
          <w:szCs w:val="26"/>
        </w:rPr>
      </w:r>
      <w:r/>
    </w:p>
    <w:p>
      <w:pPr>
        <w:ind w:left="0" w:right="0" w:firstLine="0"/>
        <w:jc w:val="both"/>
        <w:spacing w:before="0" w:after="0"/>
        <w:rPr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6"/>
          <w:szCs w:val="26"/>
        </w:rPr>
        <w:t xml:space="preserve">филиал детский сад «Орешек» МБОУ «Верх-Уймонская СОШ»;</w:t>
      </w:r>
      <w:r>
        <w:rPr>
          <w:sz w:val="26"/>
          <w:szCs w:val="26"/>
        </w:rPr>
      </w:r>
      <w:r/>
    </w:p>
    <w:p>
      <w:pPr>
        <w:ind w:left="0" w:right="0" w:firstLine="0"/>
        <w:jc w:val="both"/>
        <w:spacing w:before="0" w:after="0"/>
        <w:rPr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6"/>
          <w:szCs w:val="26"/>
        </w:rPr>
        <w:t xml:space="preserve">филиал детский сад «Улыбка» МБОУ «Амурская СОШ»;</w:t>
      </w:r>
      <w:r>
        <w:rPr>
          <w:sz w:val="26"/>
          <w:szCs w:val="26"/>
        </w:rPr>
      </w:r>
      <w:r/>
    </w:p>
    <w:p>
      <w:pPr>
        <w:ind w:left="0" w:right="0" w:firstLine="0"/>
        <w:jc w:val="both"/>
        <w:spacing w:before="0" w:after="0"/>
        <w:rPr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6"/>
          <w:szCs w:val="26"/>
        </w:rPr>
        <w:t xml:space="preserve">филиал детский сад «Ромашка» МБОУ «Усть-Коксинская СОШ»;</w:t>
      </w:r>
      <w:r>
        <w:rPr>
          <w:sz w:val="26"/>
          <w:szCs w:val="26"/>
        </w:rPr>
      </w:r>
      <w:r/>
    </w:p>
    <w:p>
      <w:pPr>
        <w:ind w:left="0" w:right="0" w:firstLine="0"/>
        <w:jc w:val="both"/>
        <w:spacing w:before="0" w:after="0"/>
        <w:rPr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6"/>
          <w:szCs w:val="26"/>
        </w:rPr>
        <w:t xml:space="preserve">филиал детский сад «Тополек» МБОУ «Усть-Коксинская СОШ» (старый корпус);</w:t>
      </w:r>
      <w:r>
        <w:rPr>
          <w:sz w:val="26"/>
          <w:szCs w:val="26"/>
        </w:rPr>
      </w:r>
      <w:r/>
    </w:p>
    <w:p>
      <w:pPr>
        <w:ind w:left="0" w:right="0" w:firstLine="0"/>
        <w:jc w:val="both"/>
        <w:spacing w:before="0" w:after="0"/>
        <w:rPr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6"/>
          <w:szCs w:val="26"/>
        </w:rPr>
        <w:t xml:space="preserve">филиал детский сад «Веснянка» МБОУ «Тюгурюкская ООШ»;</w:t>
      </w:r>
      <w:r>
        <w:rPr>
          <w:sz w:val="26"/>
          <w:szCs w:val="26"/>
        </w:rPr>
      </w:r>
      <w:r/>
    </w:p>
    <w:p>
      <w:pPr>
        <w:ind w:left="0" w:right="0" w:firstLine="0"/>
        <w:jc w:val="both"/>
        <w:spacing w:before="0" w:after="0"/>
        <w:rPr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6"/>
          <w:szCs w:val="26"/>
        </w:rPr>
        <w:t xml:space="preserve">филиал детский сад «Мурзилка» МБОУ «Юстикская ООШ»;</w:t>
      </w:r>
      <w:r>
        <w:rPr>
          <w:sz w:val="26"/>
          <w:szCs w:val="26"/>
        </w:rPr>
      </w:r>
      <w:r/>
    </w:p>
    <w:p>
      <w:pPr>
        <w:ind w:left="0" w:right="0" w:firstLine="0"/>
        <w:jc w:val="both"/>
        <w:spacing w:before="0" w:after="0"/>
        <w:rPr>
          <w:sz w:val="26"/>
          <w:szCs w:val="26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6"/>
          <w:szCs w:val="26"/>
        </w:rPr>
        <w:t xml:space="preserve">филиал детский сад «Березка» МБОУ «Кайтанакская ООШ». </w:t>
      </w:r>
      <w:r>
        <w:rPr>
          <w:sz w:val="26"/>
          <w:szCs w:val="26"/>
        </w:rPr>
      </w:r>
      <w:r/>
    </w:p>
    <w:p>
      <w:pPr>
        <w:ind w:left="0" w:right="0" w:firstLine="0"/>
        <w:jc w:val="both"/>
        <w:spacing w:before="0" w:after="0"/>
        <w:rPr>
          <w:sz w:val="26"/>
          <w:szCs w:val="26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sz w:val="26"/>
          <w:szCs w:val="26"/>
          <w:highlight w:val="white"/>
        </w:rPr>
        <w:t xml:space="preserve">филиал детский сад «Огоньки» МБОУ «Мультинская СОШ»</w:t>
      </w:r>
      <w:r>
        <w:rPr>
          <w:highlight w:val="white"/>
        </w:rPr>
      </w:r>
      <w:r/>
    </w:p>
    <w:p>
      <w:pPr>
        <w:ind w:left="0" w:right="0" w:firstLine="0"/>
        <w:jc w:val="both"/>
        <w:spacing w:before="0" w:after="0"/>
        <w:rPr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6"/>
          <w:szCs w:val="26"/>
        </w:rPr>
        <w:t xml:space="preserve">Требуется строительство новых зданий для садов:</w:t>
      </w:r>
      <w:r>
        <w:rPr>
          <w:sz w:val="26"/>
          <w:szCs w:val="26"/>
        </w:rPr>
      </w:r>
      <w:r/>
    </w:p>
    <w:p>
      <w:pPr>
        <w:ind w:left="0" w:right="0" w:firstLine="0"/>
        <w:jc w:val="both"/>
        <w:spacing w:before="0" w:after="0"/>
        <w:rPr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6"/>
          <w:szCs w:val="26"/>
        </w:rPr>
        <w:t xml:space="preserve">филиал детский сад «Белочка» МБОУ «Теректинская СОШ»;</w:t>
      </w:r>
      <w:r>
        <w:rPr>
          <w:sz w:val="26"/>
          <w:szCs w:val="26"/>
        </w:rPr>
      </w:r>
      <w:r/>
    </w:p>
    <w:p>
      <w:pPr>
        <w:ind w:left="0" w:right="0" w:firstLine="0"/>
        <w:jc w:val="both"/>
        <w:spacing w:before="0" w:after="0"/>
        <w:rPr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6"/>
          <w:szCs w:val="26"/>
        </w:rPr>
        <w:t xml:space="preserve">филиал детский сад «Теремок» МБОУ «Абайская ООШ». </w:t>
      </w:r>
      <w:r>
        <w:rPr>
          <w:sz w:val="26"/>
          <w:szCs w:val="26"/>
        </w:rPr>
      </w:r>
      <w:r/>
    </w:p>
    <w:p>
      <w:pPr>
        <w:ind w:left="0" w:right="0" w:firstLine="0"/>
        <w:jc w:val="both"/>
        <w:spacing w:before="0" w:after="0"/>
        <w:rPr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6"/>
          <w:szCs w:val="26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6"/>
          <w:szCs w:val="26"/>
          <w:highlight w:val="none"/>
        </w:rPr>
      </w:r>
      <w:r/>
    </w:p>
    <w:p>
      <w:pPr>
        <w:ind w:left="0" w:right="0" w:firstLine="709"/>
        <w:jc w:val="both"/>
        <w:spacing w:before="0" w:after="200"/>
        <w:rPr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6"/>
          <w:szCs w:val="26"/>
        </w:rPr>
        <w:t xml:space="preserve"> Во всех образовательных учреждениях района своевременно проводится текущий ремонт. </w:t>
      </w:r>
      <w:r>
        <w:rPr>
          <w:rFonts w:ascii="Times New Roman" w:hAnsi="Times New Roman" w:eastAsia="Times New Roman" w:cs="Times New Roman"/>
          <w:color w:val="000000"/>
          <w:sz w:val="26"/>
          <w:szCs w:val="26"/>
        </w:rPr>
        <w:t xml:space="preserve">В 2022 году в 5 детских садах проведен частичный капитальный ремонт:</w:t>
      </w:r>
      <w:r>
        <w:rPr>
          <w:sz w:val="26"/>
          <w:szCs w:val="26"/>
        </w:rPr>
      </w:r>
      <w:r/>
    </w:p>
    <w:p>
      <w:pPr>
        <w:numPr>
          <w:ilvl w:val="0"/>
          <w:numId w:val="10"/>
        </w:numPr>
        <w:jc w:val="both"/>
        <w:spacing w:before="0" w:after="0"/>
        <w:tabs>
          <w:tab w:val="left" w:pos="720" w:leader="none"/>
        </w:tabs>
        <w:rPr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6"/>
          <w:szCs w:val="26"/>
        </w:rPr>
        <w:t xml:space="preserve">в филиале детский сад «Колокольчик» МБОУ «Верх-Уймонская СОШ» произведена замена пожарной сигнализации; </w:t>
      </w:r>
      <w:r>
        <w:rPr>
          <w:sz w:val="26"/>
          <w:szCs w:val="26"/>
        </w:rPr>
      </w:r>
      <w:r/>
    </w:p>
    <w:p>
      <w:pPr>
        <w:numPr>
          <w:ilvl w:val="0"/>
          <w:numId w:val="10"/>
        </w:numPr>
        <w:jc w:val="both"/>
        <w:spacing w:before="0" w:after="0"/>
        <w:tabs>
          <w:tab w:val="left" w:pos="720" w:leader="none"/>
        </w:tabs>
        <w:rPr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6"/>
          <w:szCs w:val="26"/>
        </w:rPr>
        <w:t xml:space="preserve">в филиале детский сад «Колобок» МБОУ «Огневская СОШ» произведены ремонты котельной и пожарной сигнализации;</w:t>
      </w:r>
      <w:r/>
    </w:p>
    <w:p>
      <w:pPr>
        <w:numPr>
          <w:ilvl w:val="0"/>
          <w:numId w:val="10"/>
        </w:numPr>
        <w:jc w:val="both"/>
        <w:spacing w:before="0" w:after="0"/>
        <w:tabs>
          <w:tab w:val="left" w:pos="720" w:leader="none"/>
        </w:tabs>
        <w:rPr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6"/>
          <w:szCs w:val="26"/>
        </w:rPr>
        <w:t xml:space="preserve">в филиале детский сад «Ромашка» МБОУ «Усть-Коксинская СОШ» - ремонт потолочного перекрытия;</w:t>
      </w:r>
      <w:r/>
    </w:p>
    <w:p>
      <w:pPr>
        <w:numPr>
          <w:ilvl w:val="0"/>
          <w:numId w:val="10"/>
        </w:numPr>
        <w:jc w:val="both"/>
        <w:spacing w:before="0" w:after="0"/>
        <w:tabs>
          <w:tab w:val="left" w:pos="720" w:leader="none"/>
        </w:tabs>
        <w:rPr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6"/>
          <w:szCs w:val="26"/>
        </w:rPr>
        <w:t xml:space="preserve">в филиале детский сад «Теремок» МБОУ «Абайская ООШ» произведено бурение скважины и разводка воды;</w:t>
      </w:r>
      <w:r/>
    </w:p>
    <w:p>
      <w:pPr>
        <w:numPr>
          <w:ilvl w:val="0"/>
          <w:numId w:val="10"/>
        </w:numPr>
        <w:jc w:val="both"/>
        <w:spacing w:before="0" w:after="0"/>
        <w:tabs>
          <w:tab w:val="left" w:pos="720" w:leader="none"/>
        </w:tabs>
        <w:rPr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6"/>
          <w:szCs w:val="26"/>
        </w:rPr>
        <w:t xml:space="preserve">в филиале детский</w:t>
        <w:tab/>
        <w:t xml:space="preserve">сад «Огоньки» МБОУ «Мультинская СОШ» произведена замена пожарной сигнализации.</w:t>
      </w:r>
      <w:r>
        <w:rPr>
          <w:sz w:val="26"/>
          <w:szCs w:val="26"/>
        </w:rPr>
      </w:r>
      <w:r/>
    </w:p>
    <w:p>
      <w:pPr>
        <w:pStyle w:val="874"/>
        <w:ind w:firstLine="0"/>
        <w:jc w:val="both"/>
        <w:rPr>
          <w:sz w:val="26"/>
          <w:szCs w:val="26"/>
        </w:rPr>
      </w:pPr>
      <w:r>
        <w:rPr>
          <w:sz w:val="26"/>
          <w:szCs w:val="26"/>
        </w:rPr>
      </w:r>
      <w:r/>
    </w:p>
    <w:p>
      <w:pPr>
        <w:pStyle w:val="874"/>
        <w:numPr>
          <w:ilvl w:val="0"/>
          <w:numId w:val="4"/>
        </w:num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Общее и дополнительное образование</w:t>
      </w:r>
      <w:r/>
    </w:p>
    <w:p>
      <w:pPr>
        <w:pStyle w:val="874"/>
        <w:rPr>
          <w:b/>
          <w:sz w:val="26"/>
          <w:szCs w:val="26"/>
        </w:rPr>
      </w:pPr>
      <w:r>
        <w:rPr>
          <w:b/>
          <w:sz w:val="26"/>
          <w:szCs w:val="26"/>
        </w:rPr>
      </w:r>
      <w:r/>
    </w:p>
    <w:p>
      <w:pPr>
        <w:pStyle w:val="874"/>
        <w:ind w:firstLine="567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П. </w:t>
      </w:r>
      <w:r>
        <w:rPr>
          <w:b/>
          <w:sz w:val="26"/>
          <w:szCs w:val="26"/>
        </w:rPr>
        <w:t xml:space="preserve">12</w:t>
      </w:r>
      <w:r>
        <w:rPr>
          <w:b/>
          <w:sz w:val="26"/>
          <w:szCs w:val="26"/>
        </w:rPr>
        <w:t xml:space="preserve"> Доля выпускников муниципальных общеобразовательных учреждений, не получивших аттестат о среднем (полном) образовании, в общей численности выпускников муниципальных общеобразовательных учреждений</w:t>
      </w:r>
      <w:r>
        <w:rPr>
          <w:b/>
          <w:sz w:val="26"/>
          <w:szCs w:val="26"/>
        </w:rPr>
        <w:t xml:space="preserve">.</w:t>
      </w:r>
      <w:r>
        <w:rPr>
          <w:b/>
          <w:sz w:val="26"/>
          <w:szCs w:val="26"/>
        </w:rPr>
      </w:r>
      <w:r/>
    </w:p>
    <w:p>
      <w:pPr>
        <w:ind w:left="0" w:right="0" w:firstLine="709"/>
        <w:jc w:val="both"/>
        <w:spacing w:before="0" w:after="0"/>
        <w:rPr>
          <w:sz w:val="26"/>
          <w:szCs w:val="26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6"/>
          <w:szCs w:val="26"/>
        </w:rPr>
        <w:t xml:space="preserve">В 2022 г.</w:t>
      </w:r>
      <w:r>
        <w:rPr>
          <w:rFonts w:ascii="Times New Roman" w:hAnsi="Times New Roman" w:eastAsia="Times New Roman" w:cs="Times New Roman"/>
          <w:color w:val="70ad47"/>
          <w:sz w:val="26"/>
          <w:szCs w:val="26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6"/>
          <w:szCs w:val="26"/>
        </w:rPr>
        <w:t xml:space="preserve">аттестаты о среднем общем образовании получили 59 выпускников, что составляет 95,1 </w:t>
      </w:r>
      <w:r>
        <w:rPr>
          <w:rFonts w:ascii="Times New Roman" w:hAnsi="Times New Roman" w:eastAsia="Times New Roman" w:cs="Times New Roman"/>
          <w:color w:val="000000"/>
          <w:sz w:val="26"/>
          <w:szCs w:val="26"/>
          <w:highlight w:val="white"/>
        </w:rPr>
        <w:t xml:space="preserve">% </w:t>
      </w:r>
      <w:r>
        <w:rPr>
          <w:rFonts w:ascii="Times New Roman" w:hAnsi="Times New Roman" w:eastAsia="Times New Roman" w:cs="Times New Roman"/>
          <w:color w:val="000000"/>
          <w:sz w:val="26"/>
          <w:szCs w:val="26"/>
          <w:highlight w:val="white"/>
        </w:rPr>
        <w:t xml:space="preserve">от общего количества выпускников</w:t>
      </w:r>
      <w:r>
        <w:rPr>
          <w:rFonts w:ascii="Times New Roman" w:hAnsi="Times New Roman" w:eastAsia="Times New Roman" w:cs="Times New Roman"/>
          <w:color w:val="000000"/>
          <w:sz w:val="26"/>
          <w:szCs w:val="26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6"/>
          <w:szCs w:val="26"/>
        </w:rPr>
        <w:t xml:space="preserve">(62</w:t>
      </w:r>
      <w:r>
        <w:rPr>
          <w:rFonts w:ascii="Times New Roman" w:hAnsi="Times New Roman" w:eastAsia="Times New Roman" w:cs="Times New Roman"/>
          <w:color w:val="000000"/>
          <w:sz w:val="26"/>
          <w:szCs w:val="26"/>
        </w:rPr>
        <w:t xml:space="preserve"> обучающихся 11 класса общеобразовательных организаций, допущенных к государственной итоговой аттестации</w:t>
      </w:r>
      <w:r>
        <w:rPr>
          <w:rFonts w:ascii="Times New Roman" w:hAnsi="Times New Roman" w:eastAsia="Times New Roman" w:cs="Times New Roman"/>
          <w:color w:val="000000"/>
          <w:sz w:val="26"/>
          <w:szCs w:val="26"/>
        </w:rPr>
        <w:t xml:space="preserve">). </w:t>
      </w:r>
      <w:r>
        <w:rPr>
          <w:rFonts w:ascii="Times New Roman" w:hAnsi="Times New Roman" w:eastAsia="Times New Roman" w:cs="Times New Roman"/>
          <w:color w:val="000000"/>
          <w:sz w:val="26"/>
          <w:szCs w:val="26"/>
          <w:highlight w:val="white"/>
        </w:rPr>
        <w:t xml:space="preserve">В сравнении с </w:t>
      </w:r>
      <w:r>
        <w:rPr>
          <w:rFonts w:ascii="Times New Roman" w:hAnsi="Times New Roman" w:eastAsia="Times New Roman" w:cs="Times New Roman"/>
          <w:color w:val="000000" w:themeColor="text1"/>
          <w:sz w:val="26"/>
          <w:szCs w:val="26"/>
          <w:highlight w:val="white"/>
        </w:rPr>
        <w:t xml:space="preserve">прошлым</w:t>
      </w:r>
      <w:r>
        <w:rPr>
          <w:rFonts w:ascii="Times New Roman" w:hAnsi="Times New Roman" w:eastAsia="Times New Roman" w:cs="Times New Roman"/>
          <w:color w:val="ff0000"/>
          <w:sz w:val="26"/>
          <w:szCs w:val="26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6"/>
          <w:szCs w:val="26"/>
          <w:highlight w:val="white"/>
        </w:rPr>
        <w:t xml:space="preserve">годом показатель изменился - 3 выпускника не получили аттестаты о среднем (полном) образовании по причинам: 1 - по состоянию здоровья не приступил к сдаче ЕГЭ, 2 выпускника не набрали достаточного количества баллов по 1 предмету.  </w:t>
      </w:r>
      <w:r>
        <w:rPr>
          <w:sz w:val="26"/>
          <w:szCs w:val="26"/>
          <w:highlight w:val="white"/>
        </w:rPr>
      </w:r>
      <w:r/>
    </w:p>
    <w:p>
      <w:pPr>
        <w:pStyle w:val="874"/>
        <w:ind w:left="-142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>
        <w:rPr>
          <w:sz w:val="26"/>
          <w:szCs w:val="26"/>
        </w:rPr>
      </w:r>
      <w:r/>
    </w:p>
    <w:p>
      <w:pPr>
        <w:pStyle w:val="874"/>
        <w:ind w:left="-142" w:firstLine="709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 xml:space="preserve">П. 13</w:t>
      </w:r>
      <w:r>
        <w:rPr>
          <w:b/>
          <w:sz w:val="26"/>
          <w:szCs w:val="26"/>
        </w:rPr>
        <w:t xml:space="preserve"> Доля муниципальных общеобразовательных учреждений, соответствующих современным требованиям обучения, в общем количестве муниципальных общеобразовательных учреждений</w:t>
      </w:r>
      <w:r>
        <w:rPr>
          <w:b/>
          <w:sz w:val="26"/>
          <w:szCs w:val="26"/>
        </w:rPr>
        <w:t xml:space="preserve">.</w:t>
      </w:r>
      <w:r>
        <w:rPr>
          <w:b/>
          <w:sz w:val="26"/>
          <w:szCs w:val="26"/>
        </w:rPr>
      </w:r>
      <w:r/>
    </w:p>
    <w:p>
      <w:pPr>
        <w:ind w:left="0" w:right="0" w:firstLine="567"/>
        <w:jc w:val="both"/>
        <w:spacing w:before="0" w:after="0"/>
        <w:rPr>
          <w:sz w:val="26"/>
          <w:szCs w:val="26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6"/>
          <w:szCs w:val="26"/>
        </w:rPr>
        <w:t xml:space="preserve">Число муниципальных общеобразовательных учреждений, соответствующих современным требованиям обучения, в 2022 г. составляло 14 учреждений (из 20 учреждений), их доля в общем количестве </w:t>
      </w:r>
      <w:r>
        <w:rPr>
          <w:rFonts w:ascii="Times New Roman" w:hAnsi="Times New Roman" w:eastAsia="Times New Roman" w:cs="Times New Roman"/>
          <w:color w:val="000000"/>
          <w:sz w:val="26"/>
          <w:szCs w:val="26"/>
          <w:highlight w:val="white"/>
        </w:rPr>
        <w:t xml:space="preserve">составила 70</w:t>
      </w:r>
      <w:r>
        <w:rPr>
          <w:rFonts w:ascii="Times New Roman" w:hAnsi="Times New Roman" w:eastAsia="Times New Roman" w:cs="Times New Roman"/>
          <w:color w:val="000000"/>
          <w:sz w:val="26"/>
          <w:szCs w:val="26"/>
          <w:highlight w:val="white"/>
        </w:rPr>
        <w:t xml:space="preserve"> %.</w:t>
      </w:r>
      <w:r>
        <w:rPr>
          <w:rFonts w:ascii="Times New Roman" w:hAnsi="Times New Roman" w:eastAsia="Times New Roman" w:cs="Times New Roman"/>
          <w:color w:val="000000"/>
          <w:sz w:val="26"/>
          <w:szCs w:val="26"/>
          <w:highlight w:val="white"/>
        </w:rPr>
        <w:t xml:space="preserve"> Изменений в сравнении </w:t>
      </w:r>
      <w:r>
        <w:rPr>
          <w:rFonts w:ascii="Times New Roman" w:hAnsi="Times New Roman" w:eastAsia="Times New Roman" w:cs="Times New Roman"/>
          <w:color w:val="000000"/>
          <w:sz w:val="26"/>
          <w:szCs w:val="26"/>
          <w:highlight w:val="white"/>
        </w:rPr>
        <w:t xml:space="preserve"> с 2021 г</w:t>
      </w:r>
      <w:r>
        <w:rPr>
          <w:rFonts w:ascii="Times New Roman" w:hAnsi="Times New Roman" w:eastAsia="Times New Roman" w:cs="Times New Roman"/>
          <w:color w:val="000000"/>
          <w:sz w:val="26"/>
          <w:szCs w:val="26"/>
          <w:highlight w:val="white"/>
        </w:rPr>
        <w:t xml:space="preserve">одом нет</w:t>
      </w:r>
      <w:r>
        <w:rPr>
          <w:highlight w:val="white"/>
        </w:rPr>
      </w:r>
      <w:r/>
    </w:p>
    <w:p>
      <w:pPr>
        <w:pStyle w:val="883"/>
        <w:ind w:left="0" w:firstLine="567"/>
        <w:jc w:val="both"/>
        <w:spacing w:after="0" w:line="240" w:lineRule="auto"/>
        <w:rPr>
          <w:rFonts w:ascii="Times New Roman" w:hAnsi="Times New Roman"/>
          <w:b/>
          <w:sz w:val="26"/>
          <w:szCs w:val="26"/>
          <w:lang w:val="ru-RU"/>
        </w:rPr>
      </w:pPr>
      <w:r>
        <w:rPr>
          <w:rFonts w:ascii="Times New Roman" w:hAnsi="Times New Roman"/>
          <w:b/>
          <w:sz w:val="26"/>
          <w:szCs w:val="26"/>
          <w:lang w:val="ru-RU"/>
        </w:rPr>
      </w:r>
      <w:r/>
    </w:p>
    <w:p>
      <w:pPr>
        <w:pStyle w:val="883"/>
        <w:ind w:left="0" w:firstLine="567"/>
        <w:jc w:val="both"/>
        <w:spacing w:after="0" w:line="240" w:lineRule="auto"/>
        <w:rPr>
          <w:rFonts w:ascii="Times New Roman" w:hAnsi="Times New Roman"/>
          <w:b/>
          <w:sz w:val="26"/>
          <w:szCs w:val="26"/>
          <w:lang w:val="ru-RU"/>
        </w:rPr>
      </w:pPr>
      <w:r>
        <w:rPr>
          <w:rFonts w:ascii="Times New Roman" w:hAnsi="Times New Roman"/>
          <w:b/>
          <w:sz w:val="26"/>
          <w:szCs w:val="26"/>
        </w:rPr>
        <w:t xml:space="preserve">П. 1</w:t>
      </w:r>
      <w:r>
        <w:rPr>
          <w:rFonts w:ascii="Times New Roman" w:hAnsi="Times New Roman"/>
          <w:b/>
          <w:sz w:val="26"/>
          <w:szCs w:val="26"/>
          <w:lang w:val="ru-RU"/>
        </w:rPr>
        <w:t xml:space="preserve">4</w:t>
      </w:r>
      <w:r>
        <w:rPr>
          <w:rFonts w:ascii="Times New Roman" w:hAnsi="Times New Roman"/>
          <w:b/>
          <w:sz w:val="26"/>
          <w:szCs w:val="26"/>
        </w:rPr>
        <w:t xml:space="preserve"> Доля муниципальных общеобразовательных учреждений, здания которых находятся в аварийном состоянии или требуют капитального ремонта, в общем количестве муниципальных общеобразовательных учреждений</w:t>
      </w:r>
      <w:r>
        <w:rPr>
          <w:rFonts w:ascii="Times New Roman" w:hAnsi="Times New Roman"/>
          <w:b/>
          <w:sz w:val="26"/>
          <w:szCs w:val="26"/>
          <w:lang w:val="ru-RU"/>
        </w:rPr>
        <w:t xml:space="preserve">.</w:t>
      </w:r>
      <w:r>
        <w:rPr>
          <w:rFonts w:ascii="Times New Roman" w:hAnsi="Times New Roman"/>
          <w:b/>
          <w:sz w:val="26"/>
          <w:szCs w:val="26"/>
          <w:lang w:val="ru-RU"/>
        </w:rPr>
      </w:r>
      <w:r/>
    </w:p>
    <w:p>
      <w:pPr>
        <w:pStyle w:val="883"/>
        <w:ind w:left="0" w:firstLine="567"/>
        <w:jc w:val="both"/>
        <w:spacing w:after="0" w:line="240" w:lineRule="auto"/>
        <w:rPr>
          <w:rFonts w:ascii="Times New Roman" w:hAnsi="Times New Roman"/>
          <w:b/>
          <w:sz w:val="26"/>
          <w:szCs w:val="26"/>
          <w:lang w:val="ru-RU"/>
        </w:rPr>
      </w:pPr>
      <w:r>
        <w:rPr>
          <w:rFonts w:ascii="Times New Roman" w:hAnsi="Times New Roman"/>
          <w:b/>
          <w:sz w:val="26"/>
          <w:szCs w:val="26"/>
          <w:lang w:val="ru-RU"/>
        </w:rPr>
      </w:r>
      <w:r/>
    </w:p>
    <w:p>
      <w:pPr>
        <w:pStyle w:val="874"/>
        <w:ind w:firstLine="708"/>
        <w:jc w:val="both"/>
        <w:rPr>
          <w:i/>
          <w:sz w:val="24"/>
          <w:szCs w:val="26"/>
        </w:rPr>
      </w:pPr>
      <w:r>
        <w:rPr>
          <w:i/>
          <w:sz w:val="24"/>
          <w:szCs w:val="26"/>
        </w:rPr>
        <w:t xml:space="preserve">Обсудить с ответственным специалистом какое количество зданий учитывается (с филиалами или без)</w:t>
      </w:r>
      <w:r>
        <w:rPr>
          <w:i/>
          <w:sz w:val="24"/>
          <w:szCs w:val="26"/>
        </w:rPr>
      </w:r>
      <w:r/>
    </w:p>
    <w:p>
      <w:pPr>
        <w:ind w:left="0" w:right="0" w:firstLine="708"/>
        <w:jc w:val="both"/>
        <w:spacing w:before="0" w:after="0"/>
        <w:rPr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6"/>
          <w:szCs w:val="26"/>
        </w:rPr>
        <w:t xml:space="preserve">Доля муниципальных</w:t>
      </w:r>
      <w:r>
        <w:rPr>
          <w:rFonts w:ascii="Times New Roman" w:hAnsi="Times New Roman" w:eastAsia="Times New Roman" w:cs="Times New Roman"/>
          <w:color w:val="000000"/>
          <w:sz w:val="26"/>
          <w:szCs w:val="26"/>
          <w:highlight w:val="white"/>
        </w:rPr>
        <w:t xml:space="preserve"> общеобразовательных учреждений, здания которых требуют капитального ремонта</w:t>
      </w:r>
      <w:r>
        <w:rPr>
          <w:rFonts w:ascii="Times New Roman" w:hAnsi="Times New Roman" w:eastAsia="Times New Roman" w:cs="Times New Roman"/>
          <w:color w:val="000000"/>
          <w:sz w:val="26"/>
          <w:szCs w:val="26"/>
          <w:highlight w:val="white"/>
        </w:rPr>
        <w:t xml:space="preserve">, в 2022 г. составила 60 % от общего количества общеобразовательных организаций</w:t>
      </w:r>
      <w:r>
        <w:rPr>
          <w:rFonts w:ascii="Times New Roman" w:hAnsi="Times New Roman" w:eastAsia="Times New Roman" w:cs="Times New Roman"/>
          <w:color w:val="000000"/>
          <w:sz w:val="26"/>
          <w:szCs w:val="26"/>
          <w:highlight w:val="white"/>
        </w:rPr>
        <w:t xml:space="preserve">,</w:t>
      </w:r>
      <w:r>
        <w:rPr>
          <w:rFonts w:ascii="Times New Roman" w:hAnsi="Times New Roman" w:eastAsia="Times New Roman" w:cs="Times New Roman"/>
          <w:color w:val="000000"/>
          <w:sz w:val="26"/>
          <w:szCs w:val="26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6"/>
          <w:szCs w:val="26"/>
          <w:highlight w:val="white"/>
        </w:rPr>
        <w:t xml:space="preserve">по сравнению с 2021 г. показатель  уменьшился на 10%,</w:t>
      </w:r>
      <w:r>
        <w:rPr>
          <w:rFonts w:ascii="Times New Roman" w:hAnsi="Times New Roman" w:eastAsia="Times New Roman" w:cs="Times New Roman"/>
          <w:color w:val="000000"/>
          <w:sz w:val="26"/>
          <w:szCs w:val="26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6"/>
          <w:szCs w:val="26"/>
          <w:highlight w:val="white"/>
        </w:rPr>
        <w:t xml:space="preserve">в 2022 г. про</w:t>
      </w:r>
      <w:r>
        <w:rPr>
          <w:rFonts w:ascii="Times New Roman" w:hAnsi="Times New Roman" w:eastAsia="Times New Roman" w:cs="Times New Roman"/>
          <w:color w:val="000000"/>
          <w:sz w:val="26"/>
          <w:szCs w:val="26"/>
        </w:rPr>
        <w:t xml:space="preserve">ведены капитальные ремонты МБОУ «Кастахтинская ООШ, спортивного зала филиала «Гагарская НОШ» МБОУ «Верх-Уймонская СОШ . </w:t>
      </w:r>
      <w:r>
        <w:rPr>
          <w:sz w:val="26"/>
          <w:szCs w:val="26"/>
        </w:rPr>
      </w:r>
      <w:r/>
    </w:p>
    <w:p>
      <w:pPr>
        <w:ind w:left="0" w:right="0" w:firstLine="708"/>
        <w:jc w:val="both"/>
        <w:spacing w:before="0" w:after="0"/>
        <w:rPr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6"/>
          <w:szCs w:val="26"/>
        </w:rPr>
        <w:t xml:space="preserve">В 2023-2024 гг. планируется провести капитальный ремонт МБОУ «Тюгурюкская ООШ», МБОУ «Горбуновская ООШ», МБОУ «Тюнгурская ООШ» и строительство МБОУ «Тихоньская ООШ» .</w:t>
      </w:r>
      <w:r>
        <w:rPr>
          <w:sz w:val="26"/>
          <w:szCs w:val="26"/>
        </w:rPr>
      </w:r>
      <w:r/>
    </w:p>
    <w:p>
      <w:pPr>
        <w:pStyle w:val="874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  <w:r/>
    </w:p>
    <w:p>
      <w:pPr>
        <w:pStyle w:val="874"/>
        <w:ind w:firstLine="567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П. 15</w:t>
      </w:r>
      <w:r>
        <w:rPr>
          <w:b/>
          <w:sz w:val="26"/>
          <w:szCs w:val="26"/>
        </w:rPr>
        <w:t xml:space="preserve"> Доля детей первой и второй групп здоровья в общей численности обучающихся в муниципальных общеобразовательных учреждениях</w:t>
      </w:r>
      <w:r>
        <w:rPr>
          <w:b/>
          <w:sz w:val="26"/>
          <w:szCs w:val="26"/>
        </w:rPr>
        <w:t xml:space="preserve">.</w:t>
      </w:r>
      <w:r>
        <w:rPr>
          <w:b/>
          <w:sz w:val="26"/>
          <w:szCs w:val="26"/>
        </w:rPr>
      </w:r>
      <w:r/>
    </w:p>
    <w:p>
      <w:pPr>
        <w:pStyle w:val="874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</w:r>
      <w:r/>
    </w:p>
    <w:p>
      <w:pPr>
        <w:ind w:left="0" w:right="0" w:firstLine="567"/>
        <w:jc w:val="both"/>
        <w:spacing w:before="0" w:after="0"/>
        <w:rPr>
          <w:rFonts w:ascii="Times New Roman" w:hAnsi="Times New Roman" w:eastAsia="Times New Roman" w:cs="Times New Roman"/>
          <w:color w:val="000000"/>
          <w:sz w:val="26"/>
          <w:szCs w:val="26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 w:themeColor="text1"/>
          <w:sz w:val="26"/>
          <w:szCs w:val="26"/>
        </w:rPr>
        <w:t xml:space="preserve">В 2022 г. численность детей первой и второй групп здоровья, обучающихся в общеобразовательных учреждениях, составила 2135, что на 429 детей ниже уровня 2021 г. (2564 детей).</w:t>
      </w:r>
      <w:r>
        <w:rPr>
          <w:rFonts w:ascii="Times New Roman" w:hAnsi="Times New Roman" w:eastAsia="Times New Roman" w:cs="Times New Roman"/>
          <w:color w:val="000000" w:themeColor="text1"/>
          <w:sz w:val="26"/>
          <w:szCs w:val="26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6"/>
          <w:szCs w:val="26"/>
        </w:rPr>
        <w:t xml:space="preserve">Доля детей первой и второй групп здоровья, обучающихся в общеобразовательных учреж</w:t>
      </w:r>
      <w:r>
        <w:rPr>
          <w:rFonts w:ascii="Times New Roman" w:hAnsi="Times New Roman" w:eastAsia="Times New Roman" w:cs="Times New Roman"/>
          <w:color w:val="000000"/>
          <w:sz w:val="26"/>
          <w:szCs w:val="26"/>
        </w:rPr>
        <w:t xml:space="preserve">дениях соста</w:t>
      </w:r>
      <w:r>
        <w:rPr>
          <w:rFonts w:ascii="Times New Roman" w:hAnsi="Times New Roman" w:eastAsia="Times New Roman" w:cs="Times New Roman"/>
          <w:color w:val="000000" w:themeColor="text1"/>
          <w:sz w:val="26"/>
          <w:szCs w:val="26"/>
        </w:rPr>
        <w:t xml:space="preserve">в</w:t>
      </w:r>
      <w:r>
        <w:rPr>
          <w:rFonts w:ascii="Times New Roman" w:hAnsi="Times New Roman" w:eastAsia="Times New Roman" w:cs="Times New Roman"/>
          <w:strike w:val="0"/>
          <w:color w:val="000000" w:themeColor="text1"/>
          <w:sz w:val="26"/>
          <w:szCs w:val="26"/>
        </w:rPr>
        <w:t xml:space="preserve">ила</w:t>
      </w:r>
      <w:r>
        <w:rPr>
          <w:rFonts w:ascii="Times New Roman" w:hAnsi="Times New Roman" w:eastAsia="Times New Roman" w:cs="Times New Roman"/>
          <w:color w:val="000000" w:themeColor="text1"/>
          <w:sz w:val="26"/>
          <w:szCs w:val="26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6"/>
          <w:szCs w:val="26"/>
        </w:rPr>
        <w:t xml:space="preserve">86,3</w:t>
      </w:r>
      <w:r>
        <w:rPr>
          <w:rFonts w:ascii="Times New Roman" w:hAnsi="Times New Roman" w:eastAsia="Times New Roman" w:cs="Times New Roman"/>
          <w:color w:val="000000"/>
          <w:sz w:val="26"/>
          <w:szCs w:val="26"/>
          <w:highlight w:val="white"/>
        </w:rPr>
        <w:t xml:space="preserve">%.</w:t>
      </w:r>
      <w:r>
        <w:rPr>
          <w:rFonts w:ascii="Times New Roman" w:hAnsi="Times New Roman" w:eastAsia="Times New Roman" w:cs="Times New Roman"/>
          <w:color w:val="000000"/>
          <w:sz w:val="26"/>
          <w:szCs w:val="26"/>
          <w:highlight w:val="white"/>
        </w:rPr>
        <w:t xml:space="preserve"> Показатель </w:t>
      </w:r>
      <w:r>
        <w:rPr>
          <w:rFonts w:ascii="Times New Roman" w:hAnsi="Times New Roman" w:eastAsia="Times New Roman" w:cs="Times New Roman"/>
          <w:color w:val="000000"/>
          <w:sz w:val="26"/>
          <w:szCs w:val="26"/>
          <w:highlight w:val="white"/>
        </w:rPr>
        <w:t xml:space="preserve">снизился по сравнению с 2021 г.  </w:t>
      </w:r>
      <w:r>
        <w:rPr>
          <w:rFonts w:ascii="Times New Roman" w:hAnsi="Times New Roman" w:eastAsia="Times New Roman" w:cs="Times New Roman"/>
          <w:color w:val="000000"/>
          <w:sz w:val="26"/>
          <w:szCs w:val="26"/>
          <w:highlight w:val="white"/>
        </w:rPr>
        <w:t xml:space="preserve">на 2,8 процентных пункта и продолжает падать (количество детей, имеющих третью, четвертую и пятую группы здоровья увеличился с 300 детей до 747 детей), Численность детей, имеющих заболевания увеличивается в связи с недостатком физической активности детей, </w:t>
      </w:r>
      <w:r>
        <w:rPr>
          <w:rFonts w:ascii="Times New Roman" w:hAnsi="Times New Roman" w:eastAsia="Times New Roman" w:cs="Times New Roman"/>
          <w:color w:val="000000"/>
          <w:sz w:val="26"/>
          <w:szCs w:val="26"/>
          <w:highlight w:val="white"/>
        </w:rPr>
        <w:t xml:space="preserve">а также з</w:t>
      </w:r>
      <w:r>
        <w:rPr>
          <w:rFonts w:ascii="Times New Roman" w:hAnsi="Times New Roman" w:eastAsia="Times New Roman" w:cs="Times New Roman"/>
          <w:color w:val="000000"/>
          <w:sz w:val="26"/>
          <w:szCs w:val="26"/>
        </w:rPr>
        <w:t xml:space="preserve">лоупотреблением детьми современными информационно-коммуникативными </w:t>
      </w:r>
      <w:r>
        <w:rPr>
          <w:rFonts w:ascii="Times New Roman" w:hAnsi="Times New Roman" w:eastAsia="Times New Roman" w:cs="Times New Roman"/>
          <w:color w:val="000000"/>
          <w:sz w:val="26"/>
          <w:szCs w:val="26"/>
        </w:rPr>
        <w:t xml:space="preserve">технологиями.</w:t>
      </w:r>
      <w:r>
        <w:rPr>
          <w:sz w:val="26"/>
          <w:szCs w:val="26"/>
        </w:rPr>
      </w:r>
      <w:r/>
    </w:p>
    <w:p>
      <w:pPr>
        <w:ind w:left="0" w:right="0" w:firstLine="567"/>
        <w:jc w:val="both"/>
        <w:spacing w:before="0" w:after="0"/>
        <w:rPr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6"/>
          <w:szCs w:val="26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6"/>
          <w:szCs w:val="26"/>
          <w:highlight w:val="none"/>
        </w:rPr>
      </w:r>
      <w:r/>
    </w:p>
    <w:p>
      <w:pPr>
        <w:pStyle w:val="874"/>
        <w:ind w:firstLine="567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П. 16</w:t>
      </w:r>
      <w:r>
        <w:rPr>
          <w:b/>
          <w:sz w:val="26"/>
          <w:szCs w:val="26"/>
        </w:rPr>
        <w:t xml:space="preserve"> Доля обучающихся в муниципальных общеобразовательных учреждениях, занимающихся во вторую (третью) смену, в общей численности обучающихся в муниципальных общеобразовательных учреждениях</w:t>
      </w:r>
      <w:r>
        <w:rPr>
          <w:b/>
          <w:sz w:val="26"/>
          <w:szCs w:val="26"/>
        </w:rPr>
        <w:t xml:space="preserve">.</w:t>
      </w:r>
      <w:r>
        <w:rPr>
          <w:b/>
          <w:sz w:val="26"/>
          <w:szCs w:val="26"/>
        </w:rPr>
      </w:r>
      <w:r/>
    </w:p>
    <w:p>
      <w:pPr>
        <w:ind w:left="0" w:right="0" w:firstLine="567"/>
        <w:jc w:val="both"/>
        <w:spacing w:before="0" w:after="0"/>
        <w:rPr>
          <w:color w:val="000000" w:themeColor="text1"/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6"/>
          <w:szCs w:val="26"/>
        </w:rPr>
        <w:t xml:space="preserve">Доля обучающихся в муниципальных общеобразовательных учреждениях, занимающихся во вторую (третью) смену, в общей численности обучающихся в муниципальных общеобразовательных </w:t>
      </w:r>
      <w:r>
        <w:rPr>
          <w:rFonts w:ascii="Times New Roman" w:hAnsi="Times New Roman" w:eastAsia="Times New Roman" w:cs="Times New Roman"/>
          <w:color w:val="000000" w:themeColor="text1"/>
          <w:sz w:val="26"/>
          <w:szCs w:val="26"/>
        </w:rPr>
        <w:t xml:space="preserve">учреждениях</w:t>
      </w:r>
      <w:r>
        <w:rPr>
          <w:rFonts w:ascii="Times New Roman" w:hAnsi="Times New Roman" w:eastAsia="Times New Roman" w:cs="Times New Roman"/>
          <w:color w:val="000000" w:themeColor="text1"/>
          <w:sz w:val="26"/>
          <w:szCs w:val="26"/>
        </w:rPr>
        <w:t xml:space="preserve"> за 2022 год составила 24,1 %  </w:t>
      </w:r>
      <w:r>
        <w:rPr>
          <w:rFonts w:ascii="Times New Roman" w:hAnsi="Times New Roman" w:eastAsia="Times New Roman" w:cs="Times New Roman"/>
          <w:color w:val="000000" w:themeColor="text1"/>
          <w:sz w:val="26"/>
          <w:szCs w:val="26"/>
        </w:rPr>
        <w:t xml:space="preserve">(695 </w:t>
      </w:r>
      <w:r>
        <w:rPr>
          <w:rFonts w:ascii="Times New Roman" w:hAnsi="Times New Roman" w:eastAsia="Times New Roman" w:cs="Times New Roman"/>
          <w:color w:val="000000" w:themeColor="text1"/>
          <w:sz w:val="26"/>
          <w:szCs w:val="26"/>
        </w:rPr>
        <w:t xml:space="preserve">детей</w:t>
      </w:r>
      <w:r>
        <w:rPr>
          <w:rFonts w:ascii="Times New Roman" w:hAnsi="Times New Roman" w:eastAsia="Times New Roman" w:cs="Times New Roman"/>
          <w:color w:val="000000" w:themeColor="text1"/>
          <w:sz w:val="26"/>
          <w:szCs w:val="26"/>
        </w:rPr>
        <w:t xml:space="preserve">), что на 0,8 процентных пункта</w:t>
      </w:r>
      <w:r>
        <w:rPr>
          <w:rFonts w:ascii="Times New Roman" w:hAnsi="Times New Roman" w:eastAsia="Times New Roman" w:cs="Times New Roman"/>
          <w:color w:val="000000" w:themeColor="text1"/>
          <w:sz w:val="26"/>
          <w:szCs w:val="26"/>
        </w:rPr>
        <w:t xml:space="preserve"> (33 </w:t>
      </w:r>
      <w:r>
        <w:rPr>
          <w:rFonts w:ascii="Times New Roman" w:hAnsi="Times New Roman" w:eastAsia="Times New Roman" w:cs="Times New Roman"/>
          <w:color w:val="000000" w:themeColor="text1"/>
          <w:sz w:val="26"/>
          <w:szCs w:val="26"/>
        </w:rPr>
        <w:t xml:space="preserve">чел</w:t>
      </w:r>
      <w:r>
        <w:rPr>
          <w:rFonts w:ascii="Times New Roman" w:hAnsi="Times New Roman" w:eastAsia="Times New Roman" w:cs="Times New Roman"/>
          <w:color w:val="000000" w:themeColor="text1"/>
          <w:sz w:val="26"/>
          <w:szCs w:val="26"/>
        </w:rPr>
        <w:t xml:space="preserve">.) больше, чем в 2021 г. - 23,1% (662 </w:t>
      </w:r>
      <w:r>
        <w:rPr>
          <w:rFonts w:ascii="Times New Roman" w:hAnsi="Times New Roman" w:eastAsia="Times New Roman" w:cs="Times New Roman"/>
          <w:color w:val="000000" w:themeColor="text1"/>
          <w:sz w:val="26"/>
          <w:szCs w:val="26"/>
        </w:rPr>
        <w:t xml:space="preserve">чел</w:t>
      </w:r>
      <w:r>
        <w:rPr>
          <w:rFonts w:ascii="Times New Roman" w:hAnsi="Times New Roman" w:eastAsia="Times New Roman" w:cs="Times New Roman"/>
          <w:color w:val="000000" w:themeColor="text1"/>
          <w:sz w:val="26"/>
          <w:szCs w:val="26"/>
        </w:rPr>
        <w:t xml:space="preserve">.).</w:t>
      </w:r>
      <w:r>
        <w:rPr>
          <w:color w:val="000000" w:themeColor="text1"/>
        </w:rPr>
      </w:r>
      <w:r/>
    </w:p>
    <w:p>
      <w:pPr>
        <w:pStyle w:val="874"/>
        <w:ind w:firstLine="0"/>
        <w:jc w:val="both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</w:r>
      <w:r>
        <w:rPr>
          <w:color w:val="000000" w:themeColor="text1"/>
        </w:rPr>
      </w:r>
      <w:r/>
    </w:p>
    <w:p>
      <w:pPr>
        <w:pStyle w:val="874"/>
        <w:ind w:firstLine="567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П. 17</w:t>
      </w:r>
      <w:r>
        <w:rPr>
          <w:b/>
          <w:sz w:val="26"/>
          <w:szCs w:val="26"/>
        </w:rPr>
        <w:t xml:space="preserve"> Расходы бюджета муниципального образования на общее образование в расчете на 1 обучающегося в муниципальных общеобразовательных учреждениях</w:t>
      </w:r>
      <w:r>
        <w:rPr>
          <w:b/>
          <w:sz w:val="26"/>
          <w:szCs w:val="26"/>
        </w:rPr>
        <w:t xml:space="preserve">.</w:t>
      </w:r>
      <w:r>
        <w:rPr>
          <w:b/>
          <w:sz w:val="26"/>
          <w:szCs w:val="26"/>
        </w:rPr>
      </w:r>
      <w:r/>
    </w:p>
    <w:p>
      <w:pPr>
        <w:pStyle w:val="874"/>
        <w:jc w:val="both"/>
        <w:rPr>
          <w:i/>
          <w:sz w:val="24"/>
          <w:szCs w:val="26"/>
        </w:rPr>
      </w:pPr>
      <w:r>
        <w:rPr>
          <w:i/>
          <w:sz w:val="24"/>
          <w:szCs w:val="26"/>
        </w:rPr>
        <w:t xml:space="preserve">Обратить внимание, что изменен расчетный показатель (делится на среднегодовую численность обучающихся в муниципальных общеобразовательных организациях)</w:t>
      </w:r>
      <w:r>
        <w:rPr>
          <w:i/>
          <w:sz w:val="24"/>
          <w:szCs w:val="26"/>
        </w:rPr>
      </w:r>
      <w:r/>
    </w:p>
    <w:p>
      <w:pPr>
        <w:pStyle w:val="874"/>
        <w:jc w:val="both"/>
        <w:rPr>
          <w:sz w:val="26"/>
          <w:szCs w:val="26"/>
        </w:rPr>
      </w:pPr>
      <w:r>
        <w:rPr>
          <w:sz w:val="26"/>
          <w:szCs w:val="26"/>
        </w:rPr>
      </w:r>
      <w:r/>
    </w:p>
    <w:p>
      <w:pPr>
        <w:ind w:left="0" w:right="0" w:firstLine="0"/>
        <w:jc w:val="both"/>
        <w:spacing w:before="0" w:after="0"/>
        <w:rPr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6"/>
          <w:szCs w:val="26"/>
        </w:rPr>
        <w:t xml:space="preserve">  Расходы бюджета муниципального образования на общее образование в расчете </w:t>
      </w:r>
      <w:r>
        <w:rPr>
          <w:rFonts w:ascii="Times New Roman" w:hAnsi="Times New Roman" w:eastAsia="Times New Roman" w:cs="Times New Roman"/>
          <w:color w:val="000000" w:themeColor="text1"/>
          <w:sz w:val="26"/>
          <w:szCs w:val="26"/>
        </w:rPr>
        <w:t xml:space="preserve">на 1 обучающегося в муниципальных общеобразовательных учреждениях </w:t>
      </w:r>
      <w:r>
        <w:rPr>
          <w:rFonts w:ascii="Times New Roman" w:hAnsi="Times New Roman" w:eastAsia="Times New Roman" w:cs="Times New Roman"/>
          <w:color w:val="000000" w:themeColor="text1"/>
          <w:sz w:val="26"/>
          <w:szCs w:val="26"/>
        </w:rPr>
        <w:t xml:space="preserve">составляет</w:t>
      </w:r>
      <w:r>
        <w:rPr>
          <w:rFonts w:ascii="Times New Roman" w:hAnsi="Times New Roman" w:eastAsia="Times New Roman" w:cs="Times New Roman"/>
          <w:color w:val="000000" w:themeColor="text1"/>
          <w:sz w:val="26"/>
          <w:szCs w:val="26"/>
        </w:rPr>
        <w:t xml:space="preserve"> 61,67 тыс. руб., что </w:t>
      </w:r>
      <w:r>
        <w:rPr>
          <w:rFonts w:ascii="Times New Roman" w:hAnsi="Times New Roman" w:eastAsia="Times New Roman" w:cs="Times New Roman"/>
          <w:color w:val="000000" w:themeColor="text1"/>
          <w:sz w:val="26"/>
          <w:szCs w:val="26"/>
        </w:rPr>
        <w:t xml:space="preserve">выше</w:t>
      </w:r>
      <w:r>
        <w:rPr>
          <w:rFonts w:ascii="Times New Roman" w:hAnsi="Times New Roman" w:eastAsia="Times New Roman" w:cs="Times New Roman"/>
          <w:color w:val="000000" w:themeColor="text1"/>
          <w:sz w:val="26"/>
          <w:szCs w:val="26"/>
        </w:rPr>
        <w:t xml:space="preserve"> на 9,86</w:t>
      </w:r>
      <w:r>
        <w:rPr>
          <w:rFonts w:ascii="Times New Roman" w:hAnsi="Times New Roman" w:eastAsia="Times New Roman" w:cs="Times New Roman"/>
          <w:color w:val="000000"/>
          <w:sz w:val="26"/>
          <w:szCs w:val="26"/>
        </w:rPr>
        <w:t xml:space="preserve"> тыс.руб.  в сравнении с 2021 годом. </w:t>
      </w:r>
      <w:r/>
    </w:p>
    <w:p>
      <w:pPr>
        <w:pStyle w:val="87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  <w:tab/>
      </w:r>
      <w:r>
        <w:rPr>
          <w:sz w:val="26"/>
          <w:szCs w:val="26"/>
        </w:rPr>
      </w:r>
      <w:r/>
    </w:p>
    <w:p>
      <w:pPr>
        <w:pStyle w:val="874"/>
        <w:ind w:firstLine="567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П. 18</w:t>
      </w:r>
      <w:r>
        <w:rPr>
          <w:b/>
          <w:sz w:val="26"/>
          <w:szCs w:val="26"/>
        </w:rPr>
        <w:t xml:space="preserve"> Доля детей в возрасте 5-18 лет, получающих услуги по дополнительному образованию в организациях различной организационно-правовой формы и формы собственности, в общей численности детей данной возрастной группы</w:t>
      </w:r>
      <w:r>
        <w:rPr>
          <w:b/>
          <w:sz w:val="26"/>
          <w:szCs w:val="26"/>
        </w:rPr>
        <w:t xml:space="preserve">.</w:t>
      </w:r>
      <w:r>
        <w:rPr>
          <w:b/>
          <w:sz w:val="26"/>
          <w:szCs w:val="26"/>
        </w:rPr>
      </w:r>
      <w:r/>
    </w:p>
    <w:p>
      <w:pPr>
        <w:contextualSpacing/>
        <w:ind w:left="0" w:right="0" w:firstLine="709"/>
        <w:jc w:val="both"/>
        <w:keepLines/>
        <w:spacing w:before="0" w:after="0" w:line="197" w:lineRule="auto"/>
        <w:rPr>
          <w:rFonts w:ascii="Times New Roman" w:hAnsi="Times New Roman" w:eastAsia="Times New Roman" w:cs="Times New Roman"/>
          <w:bCs/>
          <w:i/>
          <w:color w:val="ff0000"/>
          <w:spacing w:val="0"/>
          <w:sz w:val="26"/>
          <w:szCs w:val="26"/>
          <w:highlight w:val="yellow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pacing w:val="0"/>
          <w:sz w:val="26"/>
          <w:szCs w:val="26"/>
        </w:rPr>
      </w:r>
      <w:r>
        <w:rPr>
          <w:rFonts w:ascii="Times New Roman" w:hAnsi="Times New Roman" w:eastAsia="Times New Roman" w:cs="Times New Roman"/>
          <w:b w:val="0"/>
          <w:bCs w:val="0"/>
          <w:color w:val="000000"/>
          <w:spacing w:val="0"/>
          <w:sz w:val="26"/>
          <w:szCs w:val="26"/>
        </w:rPr>
        <w:t xml:space="preserve">Доля детей в возрасте от 5 до 18 лет, охваченных дополнительным образованием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pacing w:val="0"/>
          <w:sz w:val="26"/>
          <w:szCs w:val="26"/>
        </w:rPr>
        <w:t xml:space="preserve">,</w:t>
      </w:r>
      <w:r>
        <w:rPr>
          <w:rFonts w:ascii="Times New Roman" w:hAnsi="Times New Roman" w:eastAsia="Times New Roman" w:cs="Times New Roman"/>
          <w:color w:val="000000"/>
          <w:spacing w:val="0"/>
          <w:sz w:val="26"/>
          <w:szCs w:val="26"/>
        </w:rPr>
        <w:t xml:space="preserve"> в 2022 году </w:t>
      </w:r>
      <w:r>
        <w:rPr>
          <w:rFonts w:ascii="Times New Roman" w:hAnsi="Times New Roman" w:eastAsia="Times New Roman" w:cs="Times New Roman"/>
          <w:color w:val="000000" w:themeColor="text1"/>
          <w:spacing w:val="0"/>
          <w:sz w:val="26"/>
          <w:szCs w:val="26"/>
        </w:rPr>
        <w:t xml:space="preserve">составляла</w:t>
      </w:r>
      <w:r>
        <w:rPr>
          <w:rFonts w:ascii="Times New Roman" w:hAnsi="Times New Roman" w:eastAsia="Times New Roman" w:cs="Times New Roman"/>
          <w:color w:val="000000"/>
          <w:spacing w:val="0"/>
          <w:sz w:val="26"/>
          <w:szCs w:val="26"/>
        </w:rPr>
        <w:t xml:space="preserve"> 77,2 %</w:t>
      </w:r>
      <w:r>
        <w:rPr>
          <w:rFonts w:ascii="Times New Roman" w:hAnsi="Times New Roman" w:eastAsia="Times New Roman" w:cs="Times New Roman"/>
          <w:color w:val="000000"/>
          <w:spacing w:val="0"/>
          <w:sz w:val="26"/>
          <w:szCs w:val="26"/>
        </w:rPr>
        <w:t xml:space="preserve">.</w:t>
      </w:r>
      <w:r>
        <w:rPr>
          <w:spacing w:val="0"/>
          <w:sz w:val="26"/>
          <w:szCs w:val="26"/>
        </w:rPr>
        <w:t xml:space="preserve">  </w:t>
      </w:r>
      <w:r/>
    </w:p>
    <w:p>
      <w:pPr>
        <w:contextualSpacing/>
        <w:ind w:left="0" w:right="0" w:firstLine="709"/>
        <w:jc w:val="both"/>
        <w:keepLines/>
        <w:spacing w:before="0" w:after="0" w:line="197" w:lineRule="auto"/>
        <w:rPr>
          <w:color w:val="000000" w:themeColor="text1"/>
          <w:spacing w:val="0"/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 w:themeColor="text1"/>
          <w:spacing w:val="0"/>
          <w:sz w:val="26"/>
          <w:szCs w:val="26"/>
        </w:rPr>
        <w:t xml:space="preserve">В Республике Алтай с 2019 года реализуется региональный проект «Успех каждого ребенка» национального проекта «Образование».</w:t>
      </w:r>
      <w:r>
        <w:rPr>
          <w:color w:val="000000" w:themeColor="text1"/>
        </w:rPr>
      </w:r>
      <w:r/>
    </w:p>
    <w:p>
      <w:pPr>
        <w:contextualSpacing/>
        <w:ind w:left="0" w:right="0" w:firstLine="709"/>
        <w:jc w:val="both"/>
        <w:keepLines/>
        <w:spacing w:before="240" w:after="240" w:line="197" w:lineRule="auto"/>
        <w:rPr>
          <w:color w:val="000000" w:themeColor="text1"/>
          <w:spacing w:val="0"/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 w:themeColor="text1"/>
          <w:spacing w:val="0"/>
          <w:sz w:val="26"/>
          <w:szCs w:val="26"/>
        </w:rPr>
        <w:t xml:space="preserve">Целью проекта является обеспечение к 2024 году для детей в возрасте от 5 до 18 лет доступных для каждого и качественных условий для воспитания гармонично развитой и социально ответственной личности путем увеличения охвата дополнительным образованием до 81%</w:t>
      </w:r>
      <w:r>
        <w:rPr>
          <w:rFonts w:ascii="Times New Roman" w:hAnsi="Times New Roman" w:eastAsia="Times New Roman" w:cs="Times New Roman"/>
          <w:color w:val="000000" w:themeColor="text1"/>
          <w:spacing w:val="0"/>
          <w:sz w:val="26"/>
          <w:szCs w:val="26"/>
        </w:rPr>
        <w:t xml:space="preserve"> от общего числа детей, обновления содержания и методов дополнительного образования детей, развития кадрового потенциала и модернизации инфраструктуры системы дополнительного образования детей. </w:t>
      </w:r>
      <w:r>
        <w:rPr>
          <w:color w:val="000000" w:themeColor="text1"/>
        </w:rPr>
      </w:r>
      <w:r/>
    </w:p>
    <w:p>
      <w:pPr>
        <w:contextualSpacing/>
        <w:ind w:left="0" w:right="0" w:firstLine="709"/>
        <w:jc w:val="both"/>
        <w:keepLines/>
        <w:spacing w:before="240" w:after="240" w:line="197" w:lineRule="auto"/>
        <w:rPr>
          <w:spacing w:val="0"/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pacing w:val="0"/>
          <w:sz w:val="26"/>
          <w:szCs w:val="26"/>
        </w:rPr>
        <w:t xml:space="preserve">В ИС «Навигатор» зарегистрированы 55 образовательных организаций МО «Усть-Коксинский район»:</w:t>
      </w:r>
      <w:r>
        <w:rPr>
          <w:spacing w:val="0"/>
          <w:sz w:val="26"/>
          <w:szCs w:val="26"/>
        </w:rPr>
      </w:r>
      <w:r/>
    </w:p>
    <w:p>
      <w:pPr>
        <w:contextualSpacing/>
        <w:ind w:left="0" w:right="0" w:firstLine="709"/>
        <w:jc w:val="both"/>
        <w:keepLines/>
        <w:spacing w:before="240" w:after="240" w:line="197" w:lineRule="auto"/>
        <w:rPr>
          <w:spacing w:val="0"/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pacing w:val="0"/>
          <w:sz w:val="26"/>
          <w:szCs w:val="26"/>
        </w:rPr>
        <w:t xml:space="preserve">МБУ ДО «Усть-Коксинская детско-юношеская спортивная школа» (701 обучающийся);</w:t>
      </w:r>
      <w:r>
        <w:rPr>
          <w:spacing w:val="0"/>
          <w:sz w:val="26"/>
          <w:szCs w:val="26"/>
        </w:rPr>
      </w:r>
      <w:r/>
    </w:p>
    <w:p>
      <w:pPr>
        <w:contextualSpacing/>
        <w:ind w:left="0" w:right="0" w:firstLine="709"/>
        <w:jc w:val="both"/>
        <w:keepLines/>
        <w:spacing w:before="240" w:after="240" w:line="197" w:lineRule="auto"/>
        <w:rPr>
          <w:color w:val="000000" w:themeColor="text1"/>
          <w:spacing w:val="0"/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pacing w:val="0"/>
          <w:sz w:val="26"/>
          <w:szCs w:val="26"/>
        </w:rPr>
        <w:t xml:space="preserve">МБУ ДО «Усть-Коксинская детская школа искусс</w:t>
      </w:r>
      <w:r>
        <w:rPr>
          <w:rFonts w:ascii="Times New Roman" w:hAnsi="Times New Roman" w:eastAsia="Times New Roman" w:cs="Times New Roman"/>
          <w:color w:val="000000" w:themeColor="text1"/>
          <w:spacing w:val="0"/>
          <w:sz w:val="26"/>
          <w:szCs w:val="26"/>
        </w:rPr>
        <w:t xml:space="preserve">тв» </w:t>
      </w:r>
      <w:r>
        <w:rPr>
          <w:rFonts w:ascii="Times New Roman" w:hAnsi="Times New Roman" w:eastAsia="Times New Roman" w:cs="Times New Roman"/>
          <w:color w:val="000000" w:themeColor="text1"/>
          <w:spacing w:val="0"/>
          <w:sz w:val="26"/>
          <w:szCs w:val="26"/>
        </w:rPr>
        <w:t xml:space="preserve">(0 обучающихся);</w:t>
      </w:r>
      <w:r>
        <w:rPr>
          <w:color w:val="000000" w:themeColor="text1"/>
        </w:rPr>
      </w:r>
      <w:r/>
    </w:p>
    <w:p>
      <w:pPr>
        <w:contextualSpacing/>
        <w:ind w:left="0" w:right="0" w:firstLine="709"/>
        <w:jc w:val="both"/>
        <w:keepLines/>
        <w:spacing w:before="240" w:after="240" w:line="197" w:lineRule="auto"/>
        <w:rPr>
          <w:spacing w:val="0"/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pacing w:val="0"/>
          <w:sz w:val="26"/>
          <w:szCs w:val="26"/>
        </w:rPr>
        <w:t xml:space="preserve">МБУ ДО «Усть-Коксинский дом детского творчества» (741 обучающийся); </w:t>
      </w:r>
      <w:r>
        <w:rPr>
          <w:spacing w:val="0"/>
          <w:sz w:val="26"/>
          <w:szCs w:val="26"/>
        </w:rPr>
      </w:r>
      <w:r/>
    </w:p>
    <w:p>
      <w:pPr>
        <w:contextualSpacing/>
        <w:ind w:left="0" w:right="0" w:firstLine="709"/>
        <w:jc w:val="both"/>
        <w:keepLines/>
        <w:spacing w:before="240" w:after="240" w:line="197" w:lineRule="auto"/>
        <w:rPr>
          <w:spacing w:val="0"/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pacing w:val="0"/>
          <w:sz w:val="26"/>
          <w:szCs w:val="26"/>
        </w:rPr>
        <w:t xml:space="preserve">АПОУ РА «Усть-Коксинский техникум отраслевых технологий» (118 обучающихся);</w:t>
      </w:r>
      <w:r>
        <w:rPr>
          <w:spacing w:val="0"/>
          <w:sz w:val="26"/>
          <w:szCs w:val="26"/>
        </w:rPr>
      </w:r>
      <w:r/>
    </w:p>
    <w:p>
      <w:pPr>
        <w:contextualSpacing/>
        <w:ind w:left="0" w:right="0" w:firstLine="709"/>
        <w:jc w:val="both"/>
        <w:keepLines/>
        <w:spacing w:before="240" w:after="240" w:line="197" w:lineRule="auto"/>
        <w:rPr>
          <w:spacing w:val="0"/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pacing w:val="0"/>
          <w:sz w:val="26"/>
          <w:szCs w:val="26"/>
        </w:rPr>
        <w:t xml:space="preserve">24 общеобразовательных организаций (1815 обучающихся);</w:t>
      </w:r>
      <w:r>
        <w:rPr>
          <w:spacing w:val="0"/>
          <w:sz w:val="26"/>
          <w:szCs w:val="26"/>
        </w:rPr>
      </w:r>
      <w:r/>
    </w:p>
    <w:p>
      <w:pPr>
        <w:contextualSpacing/>
        <w:ind w:left="0" w:right="0" w:firstLine="709"/>
        <w:jc w:val="both"/>
        <w:keepLines/>
        <w:spacing w:before="240" w:after="240" w:line="197" w:lineRule="auto"/>
        <w:rPr>
          <w:spacing w:val="0"/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pacing w:val="0"/>
          <w:sz w:val="26"/>
          <w:szCs w:val="26"/>
        </w:rPr>
        <w:t xml:space="preserve">27 дошкольных образовательных организаций (309 обучающихся).</w:t>
      </w:r>
      <w:r>
        <w:rPr>
          <w:spacing w:val="0"/>
          <w:sz w:val="26"/>
          <w:szCs w:val="26"/>
        </w:rPr>
      </w:r>
      <w:r/>
    </w:p>
    <w:p>
      <w:pPr>
        <w:ind w:left="0" w:right="0" w:firstLine="708"/>
        <w:jc w:val="both"/>
        <w:spacing w:before="0" w:after="0"/>
        <w:rPr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6"/>
          <w:szCs w:val="26"/>
        </w:rPr>
        <w:t xml:space="preserve">В сравнении с 2021 г. число детей, получающих услуги по дополнительному образованию в организациях различной организационно-правовой форме собственности, увеличилось на 36 чел.  (1,7%) .</w:t>
      </w:r>
      <w:r>
        <w:rPr>
          <w:sz w:val="26"/>
          <w:szCs w:val="26"/>
        </w:rPr>
      </w:r>
      <w:r/>
    </w:p>
    <w:p>
      <w:pPr>
        <w:ind w:left="0" w:right="0" w:firstLine="555"/>
        <w:jc w:val="both"/>
        <w:spacing w:before="0" w:after="0"/>
        <w:rPr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6"/>
          <w:szCs w:val="26"/>
        </w:rPr>
        <w:t xml:space="preserve">Рост  показателя связан с:</w:t>
      </w:r>
      <w:r>
        <w:rPr>
          <w:sz w:val="26"/>
          <w:szCs w:val="26"/>
        </w:rPr>
      </w:r>
      <w:r/>
    </w:p>
    <w:p>
      <w:pPr>
        <w:numPr>
          <w:ilvl w:val="0"/>
          <w:numId w:val="11"/>
        </w:numPr>
        <w:jc w:val="both"/>
        <w:spacing w:before="0" w:after="0"/>
        <w:rPr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6"/>
          <w:szCs w:val="26"/>
        </w:rPr>
        <w:t xml:space="preserve"> введением новой системы «Навигатор»;</w:t>
      </w:r>
      <w:r>
        <w:rPr>
          <w:sz w:val="26"/>
          <w:szCs w:val="26"/>
        </w:rPr>
      </w:r>
      <w:r/>
    </w:p>
    <w:p>
      <w:pPr>
        <w:numPr>
          <w:ilvl w:val="0"/>
          <w:numId w:val="11"/>
        </w:numPr>
        <w:jc w:val="both"/>
        <w:spacing w:before="0" w:after="0"/>
        <w:rPr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6"/>
          <w:szCs w:val="26"/>
        </w:rPr>
        <w:t xml:space="preserve">введением индивидуальной работы с каждой образовательной организацией;</w:t>
      </w:r>
      <w:r>
        <w:rPr>
          <w:sz w:val="26"/>
          <w:szCs w:val="26"/>
        </w:rPr>
      </w:r>
      <w:r/>
    </w:p>
    <w:p>
      <w:pPr>
        <w:numPr>
          <w:ilvl w:val="0"/>
          <w:numId w:val="11"/>
        </w:numPr>
        <w:jc w:val="both"/>
        <w:spacing w:before="0" w:after="0"/>
        <w:rPr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6"/>
          <w:szCs w:val="26"/>
        </w:rPr>
        <w:t xml:space="preserve">введением индивидуальной работы с каждым родителем; </w:t>
      </w:r>
      <w:r>
        <w:rPr>
          <w:sz w:val="26"/>
          <w:szCs w:val="26"/>
        </w:rPr>
      </w:r>
      <w:r/>
    </w:p>
    <w:p>
      <w:pPr>
        <w:numPr>
          <w:ilvl w:val="0"/>
          <w:numId w:val="11"/>
        </w:numPr>
        <w:jc w:val="both"/>
        <w:spacing w:before="0" w:after="0"/>
        <w:rPr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6"/>
          <w:szCs w:val="26"/>
        </w:rPr>
        <w:t xml:space="preserve"> проведением еженедельных собраний с руководителями образовательных организаций по вовлечению детей в дополнительное образование. </w:t>
      </w:r>
      <w:r>
        <w:rPr>
          <w:sz w:val="26"/>
          <w:szCs w:val="26"/>
        </w:rPr>
      </w:r>
      <w:r/>
    </w:p>
    <w:p>
      <w:pPr>
        <w:ind w:left="0" w:right="0" w:firstLine="555"/>
        <w:jc w:val="both"/>
        <w:spacing w:before="0" w:after="0"/>
        <w:rPr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6"/>
          <w:szCs w:val="26"/>
        </w:rPr>
        <w:t xml:space="preserve"> </w:t>
      </w:r>
      <w:r>
        <w:rPr>
          <w:sz w:val="26"/>
          <w:szCs w:val="26"/>
        </w:rPr>
      </w:r>
      <w:r/>
    </w:p>
    <w:p>
      <w:pPr>
        <w:pStyle w:val="885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  <w:lang w:val="en-US"/>
        </w:rPr>
        <w:t xml:space="preserve">IV</w:t>
      </w:r>
      <w:r>
        <w:rPr>
          <w:rFonts w:ascii="Times New Roman" w:hAnsi="Times New Roman"/>
          <w:b/>
          <w:sz w:val="26"/>
          <w:szCs w:val="26"/>
        </w:rPr>
        <w:t xml:space="preserve">. Культура</w:t>
      </w:r>
      <w:r/>
    </w:p>
    <w:p>
      <w:pPr>
        <w:pStyle w:val="885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</w:r>
      <w:r/>
    </w:p>
    <w:p>
      <w:pPr>
        <w:pStyle w:val="885"/>
        <w:ind w:firstLine="567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П. 19</w:t>
      </w:r>
      <w:r>
        <w:rPr>
          <w:rFonts w:ascii="Times New Roman" w:hAnsi="Times New Roman"/>
          <w:b/>
          <w:sz w:val="26"/>
          <w:szCs w:val="26"/>
        </w:rPr>
        <w:t xml:space="preserve"> Уровень фактической обеспеченности учреждениями культуры в городском округе (муниципальном районе) от нормативной потребности</w:t>
      </w:r>
      <w:r>
        <w:rPr>
          <w:rFonts w:ascii="Times New Roman" w:hAnsi="Times New Roman"/>
          <w:b/>
          <w:sz w:val="26"/>
          <w:szCs w:val="26"/>
        </w:rPr>
      </w:r>
      <w:r/>
    </w:p>
    <w:p>
      <w:pPr>
        <w:ind w:left="0" w:right="0" w:firstLine="709"/>
        <w:jc w:val="both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Уровень фактической обеспеченности учреждениями культуры в МО «Усть-Коксинский район» от нормативной потребности в 2022 г. составил: </w:t>
      </w:r>
      <w:r/>
    </w:p>
    <w:p>
      <w:pPr>
        <w:ind w:left="0" w:right="0" w:firstLine="709"/>
        <w:jc w:val="both"/>
        <w:spacing w:before="0" w:after="0"/>
        <w:rPr>
          <w:bCs/>
          <w:i/>
          <w:color w:val="000000" w:themeColor="text1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 w:themeColor="text1"/>
          <w:sz w:val="28"/>
        </w:rPr>
        <w:t xml:space="preserve">- клубами и учреждениями клубного типа - 100 %, что соответствует уровню 2021 г. Количество клубов и учреждений клубного типа составляет 27 ед. при нормативной потребности 28 ед. В прогнозе увеличение клубных учреждений не планируется.</w:t>
      </w:r>
      <w:r>
        <w:rPr>
          <w:color w:val="000000" w:themeColor="text1"/>
        </w:rPr>
      </w:r>
      <w:r/>
    </w:p>
    <w:p>
      <w:pPr>
        <w:ind w:left="0" w:right="0" w:firstLine="709"/>
        <w:jc w:val="both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 w:themeColor="text1"/>
          <w:sz w:val="28"/>
        </w:rPr>
        <w:t xml:space="preserve">- библиотеками - 86,4 %, ч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то соответствует </w:t>
      </w:r>
      <w:r>
        <w:rPr>
          <w:rFonts w:ascii="Times New Roman" w:hAnsi="Times New Roman" w:eastAsia="Times New Roman" w:cs="Times New Roman"/>
          <w:color w:val="000000" w:themeColor="text1"/>
          <w:sz w:val="28"/>
        </w:rPr>
        <w:t xml:space="preserve">уровню 2021 </w:t>
      </w:r>
      <w:r>
        <w:rPr>
          <w:rFonts w:ascii="Times New Roman" w:hAnsi="Times New Roman" w:eastAsia="Times New Roman" w:cs="Times New Roman"/>
          <w:color w:val="000000" w:themeColor="text1"/>
          <w:sz w:val="28"/>
        </w:rPr>
        <w:t xml:space="preserve">г.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 Количество библиотек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 составило 19 ед., при нормативной потребности 22 ед. В прогнозе увеличение библиотек не планируется;</w:t>
      </w:r>
      <w:r/>
    </w:p>
    <w:p>
      <w:pPr>
        <w:ind w:left="0" w:right="0" w:firstLine="709"/>
        <w:jc w:val="both"/>
        <w:spacing w:before="0" w:after="0"/>
        <w:rPr>
          <w:color w:val="ff0000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- парками культуры и отдыха 0%, т.к. парки культуры и отдыха отсутствуют.</w:t>
      </w:r>
      <w:r>
        <w:rPr>
          <w:rFonts w:ascii="Times New Roman" w:hAnsi="Times New Roman" w:eastAsia="Times New Roman" w:cs="Times New Roman"/>
          <w:sz w:val="20"/>
        </w:rPr>
        <w:t xml:space="preserve"> </w:t>
      </w:r>
      <w:r>
        <w:rPr>
          <w:color w:val="ff0000"/>
        </w:rPr>
      </w:r>
      <w:r/>
    </w:p>
    <w:p>
      <w:pPr>
        <w:pStyle w:val="885"/>
        <w:ind w:firstLine="567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П. 20</w:t>
      </w:r>
      <w:r>
        <w:rPr>
          <w:rFonts w:ascii="Times New Roman" w:hAnsi="Times New Roman"/>
          <w:b/>
          <w:sz w:val="26"/>
          <w:szCs w:val="26"/>
        </w:rPr>
        <w:t xml:space="preserve"> Доля муниципальных учреждений культуры, здания которых находятся в аварийном состоянии или требуют капитального ремонта, в общем количестве муниципальных учреждений культуры</w:t>
      </w:r>
      <w:r>
        <w:rPr>
          <w:rFonts w:ascii="Times New Roman" w:hAnsi="Times New Roman"/>
          <w:b/>
          <w:sz w:val="26"/>
          <w:szCs w:val="26"/>
        </w:rPr>
        <w:t xml:space="preserve">.</w:t>
      </w:r>
      <w:r>
        <w:rPr>
          <w:rFonts w:ascii="Times New Roman" w:hAnsi="Times New Roman" w:eastAsia="Times New Roman" w:cs="Times New Roman"/>
          <w:b/>
          <w:color w:val="000000"/>
          <w:sz w:val="26"/>
        </w:rPr>
        <w:t xml:space="preserve"> </w:t>
      </w:r>
      <w:r>
        <w:rPr>
          <w:rFonts w:ascii="Times New Roman" w:hAnsi="Times New Roman"/>
          <w:b/>
          <w:sz w:val="26"/>
          <w:szCs w:val="26"/>
        </w:rPr>
      </w:r>
      <w:r/>
    </w:p>
    <w:p>
      <w:pPr>
        <w:ind w:left="0" w:right="0" w:firstLine="709"/>
        <w:jc w:val="both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Общее количество муниципальных учреждений культуры составляет 47 ед., из них 19 ед. находятся в аварийном состоянии или требуют капитального ремонта (сельские клубы и дома культуры в с. Талда, с. Сугаш, с. Абай, с. Амур, с. Мараловодка, с. Горбуново, с. Те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ректа, с. Гагар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ка, с. Мульта, с. Тихонькая, с. Тюнгур, с. Кучерла, с. Карагай, с. Банное, с. Баштала, с. Усть-Кокса, с. Березовка, с. Верх-Уймон, с. Огневка). Доля этих учреждений в общем количестве составила 40,4 %, что в сравнении с</w:t>
      </w:r>
      <w:r>
        <w:rPr>
          <w:rFonts w:ascii="Times New Roman" w:hAnsi="Times New Roman" w:eastAsia="Times New Roman" w:cs="Times New Roman"/>
          <w:color w:val="000000" w:themeColor="text1"/>
          <w:sz w:val="28"/>
        </w:rPr>
        <w:t xml:space="preserve"> </w:t>
      </w:r>
      <w:r>
        <w:rPr>
          <w:rFonts w:ascii="Times New Roman" w:hAnsi="Times New Roman" w:eastAsia="Times New Roman" w:cs="Times New Roman"/>
          <w:color w:val="000000" w:themeColor="text1"/>
          <w:sz w:val="28"/>
        </w:rPr>
        <w:t xml:space="preserve">2021 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годом осталось без изменения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. </w:t>
      </w:r>
      <w:r/>
    </w:p>
    <w:p>
      <w:pPr>
        <w:ind w:left="0" w:right="0" w:firstLine="709"/>
        <w:jc w:val="both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В целях улучшения технического состояния муниципальных учреждений культуры в 2022 г.</w:t>
      </w:r>
      <w:r>
        <w:rPr>
          <w:rFonts w:ascii="Times New Roman" w:hAnsi="Times New Roman" w:eastAsia="Times New Roman" w:cs="Times New Roman"/>
          <w:color w:val="ff0000"/>
          <w:sz w:val="28"/>
        </w:rPr>
        <w:t xml:space="preserve"> </w:t>
      </w:r>
      <w:r>
        <w:rPr>
          <w:rFonts w:ascii="Times New Roman" w:hAnsi="Times New Roman" w:eastAsia="Times New Roman" w:cs="Times New Roman"/>
          <w:color w:val="000000" w:themeColor="text1"/>
          <w:sz w:val="28"/>
        </w:rPr>
        <w:t xml:space="preserve">начато капитальное строительство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сельского дома культуры в с. Сугаш в рамках реализации национального проекта «Культура».</w:t>
      </w:r>
      <w:r/>
    </w:p>
    <w:p>
      <w:pPr>
        <w:pStyle w:val="885"/>
        <w:ind w:firstLine="0"/>
        <w:jc w:val="both"/>
        <w:rPr>
          <w:rFonts w:ascii="Times New Roman" w:hAnsi="Times New Roman"/>
          <w:b/>
          <w:bCs/>
          <w:sz w:val="26"/>
          <w:szCs w:val="26"/>
          <w:highlight w:val="none"/>
        </w:rPr>
      </w:pPr>
      <w:r>
        <w:rPr>
          <w:rFonts w:ascii="Times New Roman" w:hAnsi="Times New Roman"/>
          <w:b/>
          <w:sz w:val="26"/>
          <w:szCs w:val="26"/>
        </w:rPr>
        <w:t xml:space="preserve">         П. 21</w:t>
      </w:r>
      <w:r>
        <w:rPr>
          <w:rFonts w:ascii="Times New Roman" w:hAnsi="Times New Roman"/>
          <w:b/>
          <w:sz w:val="26"/>
          <w:szCs w:val="26"/>
        </w:rPr>
        <w:t xml:space="preserve"> Доля объектов культурного наследия, находящихся в муниципальной собственности и требующих консервации или реставрации, в общем количестве объектов культурного наследия, находящихся в муниципальной собственности</w:t>
      </w:r>
      <w:r>
        <w:rPr>
          <w:rFonts w:ascii="Times New Roman" w:hAnsi="Times New Roman"/>
          <w:b/>
          <w:sz w:val="26"/>
          <w:szCs w:val="26"/>
        </w:rPr>
        <w:t xml:space="preserve">.</w:t>
      </w:r>
      <w:r>
        <w:rPr>
          <w:rFonts w:ascii="Times New Roman" w:hAnsi="Times New Roman"/>
          <w:b/>
          <w:sz w:val="26"/>
          <w:szCs w:val="26"/>
        </w:rPr>
      </w:r>
      <w:r/>
    </w:p>
    <w:p>
      <w:pPr>
        <w:ind w:left="0" w:right="0" w:firstLine="705"/>
        <w:jc w:val="both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По состоянию на 01.01.2023 г. в муниципальном распоряжении находятся 26 объектов культурного наследия регионального назначения. Право собственности оформлено на 3 земельных участка, расположенных в границах объекта культурного наследия, на объекты культурн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ого наследия права собственности не оформлены, в связи с тем, что объекты не являются недвижимым имуществом, объекты состоят в реестре муниципального имущества как движимое имущество.</w:t>
      </w:r>
      <w:r/>
    </w:p>
    <w:p>
      <w:pPr>
        <w:pStyle w:val="874"/>
        <w:ind w:firstLine="709"/>
        <w:jc w:val="both"/>
        <w:rPr>
          <w:sz w:val="26"/>
          <w:szCs w:val="26"/>
          <w:lang w:eastAsia="ru-RU"/>
        </w:rPr>
      </w:pPr>
      <w:r>
        <w:rPr>
          <w:sz w:val="26"/>
          <w:szCs w:val="26"/>
          <w:lang w:eastAsia="ru-RU"/>
        </w:rPr>
      </w:r>
      <w:r/>
    </w:p>
    <w:p>
      <w:pPr>
        <w:pStyle w:val="874"/>
        <w:numPr>
          <w:ilvl w:val="0"/>
          <w:numId w:val="5"/>
        </w:numPr>
        <w:jc w:val="center"/>
        <w:rPr>
          <w:b/>
          <w:sz w:val="26"/>
          <w:szCs w:val="26"/>
          <w:lang w:eastAsia="ru-RU"/>
        </w:rPr>
      </w:pPr>
      <w:r>
        <w:rPr>
          <w:b/>
          <w:sz w:val="26"/>
          <w:szCs w:val="26"/>
          <w:lang w:eastAsia="ru-RU"/>
        </w:rPr>
        <w:t xml:space="preserve">Физическая культура и спорт</w:t>
      </w:r>
      <w:r/>
    </w:p>
    <w:p>
      <w:pPr>
        <w:pStyle w:val="874"/>
        <w:ind w:firstLine="567"/>
        <w:rPr>
          <w:b/>
          <w:sz w:val="26"/>
          <w:szCs w:val="26"/>
          <w:lang w:eastAsia="ru-RU"/>
        </w:rPr>
      </w:pPr>
      <w:r>
        <w:rPr>
          <w:b/>
          <w:sz w:val="26"/>
          <w:szCs w:val="26"/>
          <w:lang w:eastAsia="ru-RU"/>
        </w:rPr>
        <w:t xml:space="preserve">П. 22</w:t>
      </w:r>
      <w:r>
        <w:rPr>
          <w:b/>
          <w:sz w:val="26"/>
          <w:szCs w:val="26"/>
          <w:lang w:eastAsia="ru-RU"/>
        </w:rPr>
        <w:t xml:space="preserve"> Доля населения, систематически занимающегося физической культурой и спортом</w:t>
      </w:r>
      <w:r>
        <w:rPr>
          <w:b/>
          <w:sz w:val="26"/>
          <w:szCs w:val="26"/>
          <w:lang w:eastAsia="ru-RU"/>
        </w:rPr>
        <w:t xml:space="preserve">.</w:t>
      </w:r>
      <w:r>
        <w:rPr>
          <w:b/>
          <w:sz w:val="26"/>
          <w:szCs w:val="26"/>
          <w:lang w:eastAsia="ru-RU"/>
        </w:rPr>
      </w:r>
      <w:r/>
    </w:p>
    <w:p>
      <w:pPr>
        <w:ind w:left="0" w:right="0" w:firstLine="709"/>
        <w:jc w:val="both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 В 2022 г. численность лиц, систематически занимающихся физической культурой и спортом, составила  8348 чел.,</w:t>
      </w:r>
      <w:r>
        <w:rPr>
          <w:rFonts w:ascii="Times New Roman" w:hAnsi="Times New Roman" w:eastAsia="Times New Roman" w:cs="Times New Roman"/>
          <w:color w:val="ff0000"/>
          <w:sz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что на  450</w:t>
      </w:r>
      <w:r>
        <w:rPr>
          <w:rFonts w:ascii="Times New Roman" w:hAnsi="Times New Roman" w:eastAsia="Times New Roman" w:cs="Times New Roman"/>
          <w:color w:val="ff0000"/>
          <w:sz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чел. </w:t>
      </w:r>
      <w:r>
        <w:rPr>
          <w:rFonts w:ascii="Times New Roman" w:hAnsi="Times New Roman" w:eastAsia="Times New Roman" w:cs="Times New Roman"/>
          <w:color w:val="000000" w:themeColor="text1"/>
          <w:sz w:val="28"/>
        </w:rPr>
        <w:t xml:space="preserve">больше, чем в</w:t>
      </w:r>
      <w:r>
        <w:rPr>
          <w:rFonts w:ascii="Times New Roman" w:hAnsi="Times New Roman" w:eastAsia="Times New Roman" w:cs="Times New Roman"/>
          <w:color w:val="000000" w:themeColor="text1"/>
          <w:sz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2021 г. (7918 чел.). Положительная динамика связана с привлечением большего числа учащихся, рабочей молодежи к занятиям в спортивных секциях, взрослого населения, воспитанников дошкольных образовательных учреждений к занятиям физической ку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льтурой и спортом, в том числе подготовке к сдачам нормативов ГТО.</w:t>
      </w:r>
      <w:r/>
    </w:p>
    <w:p>
      <w:pPr>
        <w:ind w:left="0" w:right="0" w:firstLine="709"/>
        <w:jc w:val="both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Кроме того,</w:t>
      </w:r>
      <w:r>
        <w:rPr>
          <w:rFonts w:ascii="Times New Roman" w:hAnsi="Times New Roman" w:eastAsia="Times New Roman" w:cs="Times New Roman"/>
          <w:color w:val="000000" w:themeColor="text1"/>
          <w:sz w:val="28"/>
        </w:rPr>
        <w:t xml:space="preserve"> </w:t>
      </w:r>
      <w:r>
        <w:rPr>
          <w:rFonts w:ascii="Times New Roman" w:hAnsi="Times New Roman" w:eastAsia="Times New Roman" w:cs="Times New Roman"/>
          <w:color w:val="000000" w:themeColor="text1"/>
          <w:sz w:val="28"/>
        </w:rPr>
        <w:t xml:space="preserve">проводится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 планомерная работа по строительству площадок для занятия спортом в селах района (с. Амур – монтаж технологического оборудования «Умная площадка»). В 2023 гг. предполагается выделение финансовых средств на приобретение спортивного спор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тивной формы и инвентаря. Также, планируется завершить капитальный ремонт стадиона в с. Усть-Кокса.</w:t>
      </w:r>
      <w:r/>
    </w:p>
    <w:p>
      <w:pPr>
        <w:ind w:left="0" w:right="0" w:firstLine="709"/>
        <w:jc w:val="both"/>
        <w:spacing w:before="0" w:after="0"/>
        <w:rPr>
          <w:bCs/>
          <w:i/>
          <w:color w:val="ff0000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Доля населения, систематически занимающегося физической культурой и спортом, по итогам отчетного года составила 55,70 %, что 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 на 6,26 процентных пункта </w:t>
      </w:r>
      <w:r>
        <w:rPr>
          <w:rFonts w:ascii="Times New Roman" w:hAnsi="Times New Roman" w:eastAsia="Times New Roman" w:cs="Times New Roman"/>
          <w:color w:val="000000" w:themeColor="text1"/>
          <w:sz w:val="28"/>
        </w:rPr>
        <w:t xml:space="preserve">больше, чем в 2021 г.</w:t>
      </w:r>
      <w:r>
        <w:rPr>
          <w:rFonts w:ascii="Times New Roman" w:hAnsi="Times New Roman" w:eastAsia="Times New Roman" w:cs="Times New Roman"/>
          <w:color w:val="000000" w:themeColor="text1"/>
          <w:sz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(52,42  %).</w:t>
      </w:r>
      <w:r/>
    </w:p>
    <w:p>
      <w:pPr>
        <w:ind w:left="0" w:right="0" w:firstLine="709"/>
        <w:jc w:val="both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Численность, занимающихся физической культурой и спортом, на плановые 2023-2024 гг. планируется увеличить за счет привлечения большего числа молодежи, открытия дополнительных спортивных секций. Администрацией МО «Усть-Коксинский район» ведется работа по ук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реплению материально-технической базы</w:t>
      </w:r>
      <w:r>
        <w:rPr>
          <w:rFonts w:ascii="Times New Roman" w:hAnsi="Times New Roman" w:eastAsia="Times New Roman" w:cs="Times New Roman"/>
          <w:color w:val="000000"/>
          <w:sz w:val="28"/>
          <w:highlight w:val="white"/>
        </w:rPr>
        <w:t xml:space="preserve">. </w:t>
      </w:r>
      <w:r>
        <w:rPr>
          <w:rFonts w:ascii="Times New Roman" w:hAnsi="Times New Roman" w:eastAsia="Times New Roman" w:cs="Times New Roman"/>
          <w:color w:val="000000"/>
          <w:sz w:val="28"/>
          <w:highlight w:val="white"/>
        </w:rPr>
        <w:t xml:space="preserve">А</w:t>
      </w:r>
      <w:r>
        <w:rPr>
          <w:rFonts w:ascii="Times New Roman" w:hAnsi="Times New Roman" w:eastAsia="Times New Roman" w:cs="Times New Roman"/>
          <w:color w:val="000000"/>
          <w:sz w:val="28"/>
          <w:highlight w:val="white"/>
        </w:rPr>
        <w:t xml:space="preserve">дминистрацией </w:t>
      </w:r>
      <w:r>
        <w:rPr>
          <w:rFonts w:ascii="Times New Roman" w:hAnsi="Times New Roman" w:eastAsia="Times New Roman" w:cs="Times New Roman"/>
          <w:color w:val="000000"/>
          <w:sz w:val="28"/>
          <w:highlight w:val="white"/>
        </w:rPr>
        <w:t xml:space="preserve">пр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оводится капитальный ремонт стадиона в с. Усть-Кокса для создания полноценного спортивного комплекса, рассматривается вопрос по строительству лыжной базы в с. Усть-Кокса.</w:t>
      </w:r>
      <w:r/>
    </w:p>
    <w:p>
      <w:pPr>
        <w:ind w:left="0" w:right="0" w:firstLine="709"/>
        <w:jc w:val="both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Несмотря на вышесказанное, остаются проблемы по развитию физической культуры и спорта, связанные с укреплением материально-технической базы. Необходимо обновлять и строить спортивные сооружения для занятий различными видами спорта, в т.ч. строительство физ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культурно-оздоровительного центра с универсальным спортивным залом.</w:t>
      </w:r>
      <w:r/>
    </w:p>
    <w:p>
      <w:pPr>
        <w:ind w:left="0" w:right="0" w:firstLine="567"/>
        <w:jc w:val="both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8"/>
        </w:rPr>
        <w:t xml:space="preserve"> </w:t>
      </w:r>
      <w:r/>
    </w:p>
    <w:p>
      <w:pPr>
        <w:pStyle w:val="874"/>
        <w:ind w:firstLine="567"/>
        <w:jc w:val="both"/>
        <w:shd w:val="clear" w:color="auto" w:fill="ffffff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П. </w:t>
      </w:r>
      <w:r>
        <w:rPr>
          <w:b/>
          <w:sz w:val="26"/>
          <w:szCs w:val="26"/>
        </w:rPr>
        <w:t xml:space="preserve">23.</w:t>
      </w:r>
      <w:r>
        <w:rPr>
          <w:b/>
          <w:sz w:val="26"/>
          <w:szCs w:val="26"/>
        </w:rPr>
        <w:t xml:space="preserve"> Доля обучающихся, систематически занимающихся физической культурой и спортом, в общей численности обучающихся</w:t>
      </w:r>
      <w:r>
        <w:rPr>
          <w:b/>
          <w:sz w:val="26"/>
          <w:szCs w:val="26"/>
        </w:rPr>
      </w:r>
      <w:r/>
    </w:p>
    <w:p>
      <w:pPr>
        <w:ind w:left="0" w:right="0" w:firstLine="709"/>
        <w:jc w:val="both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Доля обучающихся, систематически занимающихся физической культурой и спортом, за 2022 г. составила 93,2%. В число занимающихся отнесены обучающиеся, посещающие спортивные кружки при образовательных организациях и организации среднего образования, их числен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ность составила 2 894 чел. (за 2021 г. – 2 853  чел.). Количество, занимающихся по различным видам спорта в МБУ ДО «Усть-Коксинская ДЮСШ» составляет 762 чел., в МОУ ДОД «ДДТ» - 50 чел., остальные посещают спортивные кружки при образовательных организациях.</w:t>
      </w:r>
      <w:r/>
    </w:p>
    <w:p>
      <w:pPr>
        <w:ind w:left="0" w:right="0" w:firstLine="709"/>
        <w:jc w:val="both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Численность занимающихся физической культурой и спортом на плановые 2023 -2024 гг. планируется обеспечить на  уровне 93,5% за счет открытия дополнительных спортивных секций, таких как гиревой спорт, ручной мяч, греко-римская борьба, легкая атлетика. </w:t>
      </w:r>
      <w:r/>
    </w:p>
    <w:p>
      <w:pPr>
        <w:ind w:left="0" w:right="0" w:firstLine="0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p>
      <w:pPr>
        <w:pStyle w:val="874"/>
        <w:numPr>
          <w:ilvl w:val="0"/>
          <w:numId w:val="5"/>
        </w:numPr>
        <w:ind w:left="0" w:firstLine="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Жилищное строительство и обеспечение граждан жильем</w:t>
      </w:r>
      <w:r/>
    </w:p>
    <w:p>
      <w:pPr>
        <w:pStyle w:val="874"/>
        <w:ind w:left="1287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</w:r>
      <w:r/>
    </w:p>
    <w:p>
      <w:pPr>
        <w:pStyle w:val="874"/>
        <w:ind w:firstLine="567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П.24</w:t>
      </w:r>
      <w:r>
        <w:rPr>
          <w:b/>
          <w:sz w:val="26"/>
          <w:szCs w:val="26"/>
        </w:rPr>
        <w:t xml:space="preserve"> Общая площадь жилых помещений, приходящаяся в среднем на одного жителя</w:t>
      </w:r>
      <w:r>
        <w:rPr>
          <w:b/>
          <w:sz w:val="26"/>
          <w:szCs w:val="26"/>
        </w:rPr>
        <w:t xml:space="preserve">-всего.</w:t>
      </w:r>
      <w:r>
        <w:rPr>
          <w:b/>
          <w:sz w:val="26"/>
          <w:szCs w:val="26"/>
        </w:rPr>
      </w:r>
      <w:r/>
    </w:p>
    <w:p>
      <w:pPr>
        <w:ind w:left="0" w:right="0" w:firstLine="709"/>
        <w:jc w:val="both"/>
        <w:spacing w:before="0" w:after="0"/>
        <w:rPr>
          <w:color w:val="ff0000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Общая площадь жилых помещений, приходящаяся в среднем на одного жителя района, соста</w:t>
      </w:r>
      <w:r>
        <w:rPr>
          <w:rFonts w:ascii="Times New Roman" w:hAnsi="Times New Roman" w:eastAsia="Times New Roman" w:cs="Times New Roman"/>
          <w:color w:val="000000" w:themeColor="text1"/>
          <w:sz w:val="28"/>
        </w:rPr>
        <w:t xml:space="preserve">в</w:t>
      </w:r>
      <w:r>
        <w:rPr>
          <w:rFonts w:ascii="Times New Roman" w:hAnsi="Times New Roman" w:eastAsia="Times New Roman" w:cs="Times New Roman"/>
          <w:color w:val="000000" w:themeColor="text1"/>
          <w:sz w:val="28"/>
        </w:rPr>
        <w:t xml:space="preserve">ила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 21,52 кв. м., в том числе введенная в действие за отчетный период – 0,570 кв. м./чел., </w:t>
      </w:r>
      <w:r>
        <w:rPr>
          <w:rFonts w:ascii="Times New Roman" w:hAnsi="Times New Roman" w:eastAsia="Times New Roman" w:cs="Times New Roman"/>
          <w:color w:val="000000" w:themeColor="text1"/>
          <w:sz w:val="28"/>
        </w:rPr>
        <w:t xml:space="preserve">по сравнению с 2021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 годом рост составил 0,81 кв.м или 3,9%. </w:t>
      </w:r>
      <w:r/>
    </w:p>
    <w:p>
      <w:pPr>
        <w:ind w:left="0" w:right="0" w:firstLine="708"/>
        <w:jc w:val="both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На 01.01.2022 г. введено общей площади жилых помещений 9008 кв. м. Таким образом, процент выполнения плана, утвержденного Министерством регионального развития Республики Алтай за 2022 г. составляет 142,6 % (планом утверждено 6300 кв. м).</w:t>
      </w:r>
      <w:r/>
    </w:p>
    <w:p>
      <w:pPr>
        <w:ind w:left="0" w:right="0" w:firstLine="708"/>
        <w:jc w:val="both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В сравнении с 2021 годом наблюдается снижение объема ввода жилых помещений на 590 кв.м. или на 6,14 %, в связи со снижением активности населения по вводу жилья.</w:t>
      </w:r>
      <w:r>
        <w:rPr>
          <w:rFonts w:ascii="Times New Roman" w:hAnsi="Times New Roman" w:eastAsia="Times New Roman" w:cs="Times New Roman"/>
          <w:sz w:val="20"/>
        </w:rPr>
      </w:r>
      <w:r/>
    </w:p>
    <w:p>
      <w:pPr>
        <w:pStyle w:val="874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</w:r>
      <w:r/>
    </w:p>
    <w:p>
      <w:pPr>
        <w:pStyle w:val="874"/>
        <w:ind w:firstLine="708"/>
        <w:jc w:val="both"/>
        <w:rPr>
          <w:b/>
          <w:bCs/>
          <w:sz w:val="26"/>
          <w:szCs w:val="26"/>
          <w:highlight w:val="none"/>
        </w:rPr>
      </w:pPr>
      <w:r>
        <w:rPr>
          <w:b/>
          <w:sz w:val="26"/>
          <w:szCs w:val="26"/>
        </w:rPr>
        <w:t xml:space="preserve">П. 25</w:t>
      </w:r>
      <w:r>
        <w:rPr>
          <w:b/>
          <w:sz w:val="26"/>
          <w:szCs w:val="26"/>
        </w:rPr>
        <w:t xml:space="preserve"> Площадь земельных участков, предоставленных для строительства в расчете на 10 тыс. человек населения</w:t>
      </w:r>
      <w:r>
        <w:rPr>
          <w:b/>
          <w:sz w:val="26"/>
          <w:szCs w:val="26"/>
        </w:rPr>
        <w:t xml:space="preserve">, в том числе земельных участков, предоставленных для жилищного строительства, индивидуального строительства и комплексного освоения в целях жилищного строительства.</w:t>
      </w:r>
      <w:r>
        <w:rPr>
          <w:b/>
          <w:sz w:val="26"/>
          <w:szCs w:val="26"/>
        </w:rPr>
      </w:r>
      <w:r/>
    </w:p>
    <w:p>
      <w:pPr>
        <w:ind w:left="0" w:right="0" w:firstLine="708"/>
        <w:jc w:val="both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За 2022 г. на территории муниципального образования «Усть-Коксинский район» было предоставлено для строительства 289 земельных участков общей площадью 52,12 га, из них: 282 земельных участка - для жилищного строительства, индивидуального жилищного строите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льства, общей площадью 50,7 га., 7 земельных участков - для предпринимательской деятельности, общей площадью 1,42 га.</w:t>
      </w:r>
      <w:r/>
    </w:p>
    <w:p>
      <w:pPr>
        <w:ind w:left="0" w:right="0" w:firstLine="708"/>
        <w:jc w:val="both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Таким образом, площадь земельных участков, предоставленных для строительства в расчете на 10 тыс. чел. населения, в том числе земельных участков, предоставленных для жилищного строительства, индивидуального строительства и комплексного освоения в целях жил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ищного строительства, за 2022 год составила</w:t>
      </w:r>
      <w:r>
        <w:rPr>
          <w:rFonts w:ascii="Times New Roman" w:hAnsi="Times New Roman" w:eastAsia="Times New Roman" w:cs="Times New Roman"/>
          <w:color w:val="ff0000"/>
          <w:sz w:val="28"/>
        </w:rPr>
        <w:t xml:space="preserve"> </w:t>
      </w:r>
      <w:r>
        <w:rPr>
          <w:rFonts w:ascii="Times New Roman" w:hAnsi="Times New Roman" w:eastAsia="Times New Roman" w:cs="Times New Roman"/>
          <w:color w:val="000000" w:themeColor="text1"/>
          <w:sz w:val="28"/>
        </w:rPr>
        <w:t xml:space="preserve">33,15 га, 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 чт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о на 45,14 % или на 10,31 га больше, чем в 2021 году в связи с тем, что в с. Сугаш, с. Октябрьское, с. Мульта были утверждены проекты межевания территории, предусматривающие образование новых земельных участков для индивидуального жилищного строительства.</w:t>
      </w:r>
      <w:r/>
    </w:p>
    <w:p>
      <w:pPr>
        <w:pStyle w:val="874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</w:r>
      <w:r/>
    </w:p>
    <w:p>
      <w:pPr>
        <w:pStyle w:val="874"/>
        <w:ind w:firstLine="567"/>
        <w:jc w:val="both"/>
        <w:widowControl w:val="off"/>
        <w:rPr>
          <w:b/>
          <w:spacing w:val="-2"/>
          <w:sz w:val="26"/>
          <w:szCs w:val="26"/>
        </w:rPr>
      </w:pPr>
      <w:r>
        <w:rPr>
          <w:b/>
          <w:spacing w:val="-2"/>
          <w:sz w:val="26"/>
          <w:szCs w:val="26"/>
        </w:rPr>
        <w:t xml:space="preserve">П. 26 Площадь земельных участков, предоставленных для строительства, в отношении которых с даты принятия решения о предоставлении земельного участка не было получено разрешение на ввод в эксплуатацию</w:t>
      </w:r>
      <w:r>
        <w:rPr>
          <w:b/>
          <w:spacing w:val="-2"/>
          <w:sz w:val="26"/>
          <w:szCs w:val="26"/>
        </w:rPr>
        <w:t xml:space="preserve">:</w:t>
      </w:r>
      <w:r>
        <w:rPr>
          <w:b/>
          <w:spacing w:val="-2"/>
          <w:sz w:val="26"/>
          <w:szCs w:val="26"/>
        </w:rPr>
      </w:r>
      <w:r/>
    </w:p>
    <w:p>
      <w:pPr>
        <w:pStyle w:val="895"/>
        <w:ind w:firstLine="567"/>
        <w:jc w:val="both"/>
        <w:rPr>
          <w:b/>
          <w:sz w:val="26"/>
          <w:szCs w:val="26"/>
          <w:lang w:val="ru-RU"/>
        </w:rPr>
      </w:pPr>
      <w:r>
        <w:rPr>
          <w:b/>
          <w:sz w:val="26"/>
          <w:szCs w:val="26"/>
          <w:lang w:val="ru-RU"/>
        </w:rPr>
        <w:t xml:space="preserve">объектов жилищного строительства -</w:t>
      </w:r>
      <w:r>
        <w:rPr>
          <w:b/>
          <w:sz w:val="26"/>
          <w:szCs w:val="26"/>
          <w:lang w:val="ru-RU"/>
        </w:rPr>
        <w:t xml:space="preserve"> </w:t>
      </w:r>
      <w:r>
        <w:rPr>
          <w:b/>
          <w:sz w:val="26"/>
          <w:szCs w:val="26"/>
          <w:lang w:val="ru-RU"/>
        </w:rPr>
        <w:t xml:space="preserve">в течение 3 лет</w:t>
      </w:r>
      <w:r>
        <w:rPr>
          <w:b/>
          <w:sz w:val="26"/>
          <w:szCs w:val="26"/>
          <w:lang w:val="ru-RU"/>
        </w:rPr>
        <w:t xml:space="preserve">;</w:t>
      </w:r>
      <w:r>
        <w:rPr>
          <w:b/>
          <w:sz w:val="26"/>
          <w:szCs w:val="26"/>
          <w:lang w:val="ru-RU"/>
        </w:rPr>
      </w:r>
      <w:r/>
    </w:p>
    <w:p>
      <w:pPr>
        <w:pStyle w:val="895"/>
        <w:ind w:firstLine="567"/>
        <w:jc w:val="both"/>
        <w:rPr>
          <w:b/>
          <w:bCs/>
          <w:sz w:val="26"/>
          <w:szCs w:val="26"/>
          <w:highlight w:val="none"/>
          <w:lang w:val="ru-RU"/>
        </w:rPr>
      </w:pPr>
      <w:r>
        <w:rPr>
          <w:b/>
          <w:sz w:val="26"/>
          <w:szCs w:val="26"/>
          <w:lang w:val="ru-RU"/>
        </w:rPr>
        <w:t xml:space="preserve">иных объектов капитального строительства - в течение 5 лет</w:t>
      </w:r>
      <w:r>
        <w:rPr>
          <w:b/>
          <w:sz w:val="26"/>
          <w:szCs w:val="26"/>
          <w:lang w:val="ru-RU"/>
        </w:rPr>
      </w:r>
      <w:r/>
    </w:p>
    <w:p>
      <w:pPr>
        <w:ind w:left="0" w:right="0" w:firstLine="567"/>
        <w:jc w:val="both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Земельных участков, предоставленных для строительства, в отношении которых с даты принятия решения о предоставлении земельного участка или подписания протокола о результатах торгов не было получено разрешения на ввод в эксплуатацию, нет.</w:t>
      </w:r>
      <w:r/>
    </w:p>
    <w:p>
      <w:pPr>
        <w:pStyle w:val="895"/>
        <w:ind w:firstLine="567"/>
        <w:jc w:val="both"/>
        <w:rPr>
          <w:b/>
          <w:bCs/>
          <w:sz w:val="26"/>
          <w:szCs w:val="26"/>
          <w:lang w:val="ru-RU"/>
        </w:rPr>
      </w:pPr>
      <w:r>
        <w:rPr>
          <w:b/>
          <w:sz w:val="26"/>
          <w:szCs w:val="26"/>
          <w:highlight w:val="none"/>
          <w:lang w:val="ru-RU"/>
        </w:rPr>
      </w:r>
      <w:r>
        <w:rPr>
          <w:b/>
          <w:sz w:val="26"/>
          <w:szCs w:val="26"/>
          <w:highlight w:val="none"/>
          <w:lang w:val="ru-RU"/>
        </w:rPr>
      </w:r>
      <w:r/>
    </w:p>
    <w:p>
      <w:pPr>
        <w:pStyle w:val="895"/>
        <w:ind w:firstLine="567"/>
        <w:jc w:val="both"/>
        <w:rPr>
          <w:b/>
          <w:sz w:val="26"/>
          <w:szCs w:val="26"/>
          <w:lang w:val="ru-RU"/>
        </w:rPr>
      </w:pPr>
      <w:r>
        <w:rPr>
          <w:b/>
          <w:sz w:val="26"/>
          <w:szCs w:val="26"/>
        </w:rPr>
        <w:t xml:space="preserve">П. 27</w:t>
      </w:r>
      <w:r>
        <w:rPr>
          <w:b/>
          <w:sz w:val="26"/>
          <w:szCs w:val="26"/>
        </w:rPr>
        <w:t xml:space="preserve"> Доля многоквартирных домов, в которых собственники помещений выбрали и реализуют один из способов управления многоквартирными домами, в общем числе многоквартирных дом</w:t>
      </w:r>
      <w:r>
        <w:rPr>
          <w:b/>
          <w:sz w:val="26"/>
          <w:szCs w:val="26"/>
        </w:rPr>
        <w:t xml:space="preserve">ов, в которых собственники помещ</w:t>
      </w:r>
      <w:r>
        <w:rPr>
          <w:b/>
          <w:sz w:val="26"/>
          <w:szCs w:val="26"/>
        </w:rPr>
        <w:t xml:space="preserve">ений должны выбрать способ управления </w:t>
      </w:r>
      <w:r>
        <w:rPr>
          <w:b/>
          <w:sz w:val="26"/>
          <w:szCs w:val="26"/>
          <w:lang w:val="ru-RU"/>
        </w:rPr>
        <w:t xml:space="preserve">указанными</w:t>
      </w:r>
      <w:r>
        <w:rPr>
          <w:b/>
          <w:sz w:val="26"/>
          <w:szCs w:val="26"/>
        </w:rPr>
        <w:t xml:space="preserve"> домами</w:t>
      </w:r>
      <w:r>
        <w:rPr>
          <w:b/>
          <w:sz w:val="26"/>
          <w:szCs w:val="26"/>
          <w:lang w:val="ru-RU"/>
        </w:rPr>
        <w:t xml:space="preserve">.</w:t>
      </w:r>
      <w:r>
        <w:rPr>
          <w:b/>
          <w:sz w:val="26"/>
          <w:szCs w:val="26"/>
          <w:lang w:val="ru-RU"/>
        </w:rPr>
      </w:r>
      <w:r/>
    </w:p>
    <w:p>
      <w:pPr>
        <w:ind w:left="0" w:right="0" w:firstLine="567"/>
        <w:jc w:val="both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Д</w:t>
      </w:r>
      <w:r>
        <w:rPr>
          <w:rFonts w:ascii="Times New Roman" w:hAnsi="Times New Roman" w:eastAsia="Times New Roman" w:cs="Times New Roman"/>
          <w:color w:val="000000"/>
          <w:sz w:val="27"/>
        </w:rPr>
        <w:t xml:space="preserve">оля много</w:t>
      </w:r>
      <w:r>
        <w:rPr>
          <w:rFonts w:ascii="Times New Roman" w:hAnsi="Times New Roman" w:eastAsia="Times New Roman" w:cs="Times New Roman"/>
          <w:color w:val="000000"/>
          <w:sz w:val="27"/>
        </w:rPr>
        <w:t xml:space="preserve">квартирных домов, в которых собственники помещений выбрали и реализуют один из способов управления многоквартирными домами, в общем числе многоквартирных домов, в которых собственники помещений должны выбрать способ управления указанными домами, составляет</w:t>
      </w:r>
      <w:r>
        <w:rPr>
          <w:rFonts w:ascii="Times New Roman" w:hAnsi="Times New Roman" w:eastAsia="Times New Roman" w:cs="Times New Roman"/>
          <w:color w:val="000000"/>
          <w:sz w:val="27"/>
        </w:rPr>
        <w:t xml:space="preserve"> 84,2 %.</w:t>
      </w:r>
      <w:r/>
    </w:p>
    <w:p>
      <w:pPr>
        <w:ind w:left="0" w:right="0" w:firstLine="567"/>
        <w:jc w:val="both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7"/>
        </w:rPr>
        <w:t xml:space="preserve">На территории МО «Усть-Коксинский район» находятся 19 многоквартирных домов:</w:t>
      </w:r>
      <w:r/>
    </w:p>
    <w:p>
      <w:pPr>
        <w:ind w:left="0" w:right="0" w:firstLine="708"/>
        <w:jc w:val="both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7"/>
        </w:rPr>
        <w:t xml:space="preserve">12 - собственники выбрали непосредственный способ управления;</w:t>
      </w:r>
      <w:r/>
    </w:p>
    <w:p>
      <w:pPr>
        <w:ind w:left="0" w:right="0" w:firstLine="0"/>
        <w:spacing w:before="0" w:after="12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7"/>
        </w:rPr>
        <w:tab/>
        <w:t xml:space="preserve">4 – назначена управляющая организация;</w:t>
      </w:r>
      <w:r/>
    </w:p>
    <w:p>
      <w:pPr>
        <w:ind w:left="0" w:right="0" w:firstLine="0"/>
        <w:spacing w:before="0" w:after="12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7"/>
        </w:rPr>
        <w:tab/>
        <w:t xml:space="preserve">3  – не выбрали способ управления.</w:t>
      </w:r>
      <w:r/>
    </w:p>
    <w:p>
      <w:pPr>
        <w:pStyle w:val="895"/>
        <w:ind w:firstLine="567"/>
        <w:jc w:val="both"/>
        <w:rPr>
          <w:b/>
          <w:sz w:val="26"/>
          <w:szCs w:val="26"/>
          <w:lang w:val="ru-RU"/>
        </w:rPr>
      </w:pPr>
      <w:r>
        <w:rPr>
          <w:b/>
          <w:sz w:val="26"/>
          <w:szCs w:val="26"/>
        </w:rPr>
        <w:t xml:space="preserve">П. 28</w:t>
      </w:r>
      <w:r>
        <w:rPr>
          <w:b/>
          <w:sz w:val="26"/>
          <w:szCs w:val="26"/>
        </w:rPr>
        <w:t xml:space="preserve"> Доля организаций коммунального комплекса, осуществляющих производство товаров, оказание услу</w:t>
      </w:r>
      <w:r>
        <w:rPr>
          <w:b/>
          <w:sz w:val="26"/>
          <w:szCs w:val="26"/>
        </w:rPr>
        <w:t xml:space="preserve">г по водо-, тепло, -газо-, электроснабжению, водоотведению, очистке сточных вод, утилизации (захоронению) твердых бытовых отходов и использующих объекты коммунальной инфраструктуры на праве частной собственности, по договору аренды или концессии, участие с</w:t>
      </w:r>
      <w:r>
        <w:rPr>
          <w:b/>
          <w:sz w:val="26"/>
          <w:szCs w:val="26"/>
        </w:rPr>
        <w:t xml:space="preserve">убъекта Российской Федерации и (или) городского округа (муниципального района) в уставном капитале которых составляет не более 25 процентов, в общем числе организаций коммунального комплекса, осуществляющих свою деятельность на территории городского округа</w:t>
      </w:r>
      <w:r>
        <w:rPr>
          <w:b/>
          <w:sz w:val="26"/>
          <w:szCs w:val="26"/>
          <w:lang w:val="ru-RU"/>
        </w:rPr>
        <w:t xml:space="preserve">.</w:t>
      </w:r>
      <w:r>
        <w:rPr>
          <w:b/>
          <w:sz w:val="26"/>
          <w:szCs w:val="26"/>
          <w:lang w:val="ru-RU"/>
        </w:rPr>
      </w:r>
      <w:r/>
    </w:p>
    <w:p>
      <w:pPr>
        <w:pStyle w:val="895"/>
        <w:ind w:firstLine="567"/>
        <w:jc w:val="both"/>
        <w:rPr>
          <w:b/>
          <w:sz w:val="26"/>
          <w:szCs w:val="26"/>
          <w:lang w:val="ru-RU"/>
        </w:rPr>
      </w:pPr>
      <w:r>
        <w:rPr>
          <w:b/>
          <w:sz w:val="26"/>
          <w:szCs w:val="26"/>
          <w:lang w:val="ru-RU"/>
        </w:rPr>
      </w:r>
      <w:r/>
    </w:p>
    <w:p>
      <w:pPr>
        <w:ind w:left="0" w:right="0" w:firstLine="709"/>
        <w:jc w:val="both"/>
        <w:spacing w:before="0" w:after="0" w:line="65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Доля организаций коммунального комплекса, осуществляющих производство товаров, оказание услуг по водо-, тепло, газо-, электроснабжению, водоотведению, очистке сточных вод, утилизации (захоронению) твердых бытовых отходов и использующих объекты коммунальной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 инфраструктуры на праве частной собственности, по договору аренды или концессии, участие субъекта Российской Федерации и (или) городского округа (муниципального района) в уставном капитале которых составляет не более 25 процентов, в общем числе организаци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й коммунального комплекса, осуществляющих свою деятельность на территории МО «Усть-Коксинский район» составила 0 %.</w:t>
      </w:r>
      <w:r/>
    </w:p>
    <w:p>
      <w:pPr>
        <w:ind w:left="0" w:right="0" w:firstLine="709"/>
        <w:jc w:val="both"/>
        <w:spacing w:before="0" w:after="0" w:line="65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На территории района по данным видам деятельности работают два предприятия: МУП «Тепловодстрой Сервис» (оказывает услуги по водоснабжению) и МУП «Тепло Ресурс» (оказывает услуги по теплоснабжению), в которых участие в уставном капитале муниципального район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а составляет 100 %.</w:t>
      </w:r>
      <w:r/>
    </w:p>
    <w:p>
      <w:pPr>
        <w:ind w:left="0" w:right="0" w:firstLine="709"/>
        <w:jc w:val="both"/>
        <w:spacing w:before="0" w:after="0" w:line="65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Организации коммунального комплекса использующие объекты коммунальной инфраструктуры на праве частной собственности, по договору аренды или концессии, участие муниципального района в уставном капитале которых составляет не более 25 процентов, на территории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 МО «Усть-Коксинский район» отсутствуют.</w:t>
      </w:r>
      <w:r/>
    </w:p>
    <w:p>
      <w:pPr>
        <w:pStyle w:val="874"/>
        <w:ind w:firstLine="708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</w:r>
      <w:r/>
    </w:p>
    <w:p>
      <w:pPr>
        <w:pStyle w:val="874"/>
        <w:ind w:firstLine="708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П. 29 </w:t>
      </w:r>
      <w:r>
        <w:rPr>
          <w:b/>
          <w:sz w:val="26"/>
          <w:szCs w:val="26"/>
        </w:rPr>
        <w:t xml:space="preserve">Доля многоквартирных домов, расположенных на земельных участках, в отношении которых осуществлен государственный кадастровый учет</w:t>
      </w:r>
      <w:r>
        <w:rPr>
          <w:b/>
          <w:sz w:val="26"/>
          <w:szCs w:val="26"/>
        </w:rPr>
        <w:t xml:space="preserve">.</w:t>
      </w:r>
      <w:r>
        <w:rPr>
          <w:b/>
          <w:sz w:val="26"/>
          <w:szCs w:val="26"/>
        </w:rPr>
      </w:r>
      <w:r/>
    </w:p>
    <w:p>
      <w:pPr>
        <w:ind w:left="0" w:right="0" w:firstLine="709"/>
        <w:jc w:val="both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Доля многоквартирных домов, расположенных на земельных участках, в отношении которых осуществлен государственный кадастровый учет, </w:t>
      </w:r>
      <w:r>
        <w:rPr>
          <w:rFonts w:ascii="Times New Roman" w:hAnsi="Times New Roman" w:eastAsia="Times New Roman" w:cs="Times New Roman"/>
          <w:color w:val="000000" w:themeColor="text1"/>
          <w:sz w:val="28"/>
        </w:rPr>
        <w:t xml:space="preserve">составляет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 100 %.</w:t>
      </w:r>
      <w:r/>
    </w:p>
    <w:p>
      <w:pPr>
        <w:pStyle w:val="874"/>
        <w:ind w:firstLine="708"/>
        <w:jc w:val="both"/>
        <w:rPr>
          <w:b/>
          <w:sz w:val="26"/>
          <w:szCs w:val="26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За 2022 год многоквартирные дома в эксплуатацию не вводились. В настоящее время количество многоквартирных домов, в том числе двухквартирных, на территории района</w:t>
      </w:r>
      <w:r>
        <w:rPr>
          <w:rFonts w:ascii="Times New Roman" w:hAnsi="Times New Roman" w:eastAsia="Times New Roman" w:cs="Times New Roman"/>
          <w:color w:val="000000" w:themeColor="text1"/>
          <w:sz w:val="28"/>
        </w:rPr>
        <w:t xml:space="preserve"> </w:t>
      </w:r>
      <w:r>
        <w:rPr>
          <w:rFonts w:ascii="Times New Roman" w:hAnsi="Times New Roman" w:eastAsia="Times New Roman" w:cs="Times New Roman"/>
          <w:color w:val="000000" w:themeColor="text1"/>
          <w:sz w:val="28"/>
        </w:rPr>
        <w:t xml:space="preserve">составляет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 1085 единиц.</w:t>
      </w:r>
      <w:r>
        <w:rPr>
          <w:b/>
          <w:sz w:val="26"/>
          <w:szCs w:val="26"/>
        </w:rPr>
      </w:r>
      <w:r/>
    </w:p>
    <w:p>
      <w:pPr>
        <w:pStyle w:val="874"/>
        <w:ind w:firstLine="567"/>
        <w:jc w:val="both"/>
        <w:rPr>
          <w:spacing w:val="-2"/>
          <w:sz w:val="26"/>
          <w:szCs w:val="26"/>
        </w:rPr>
      </w:pPr>
      <w:r>
        <w:rPr>
          <w:spacing w:val="-2"/>
          <w:sz w:val="26"/>
          <w:szCs w:val="26"/>
        </w:rPr>
      </w:r>
      <w:r/>
    </w:p>
    <w:p>
      <w:pPr>
        <w:ind w:left="0" w:right="0" w:firstLine="567"/>
        <w:jc w:val="both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pacing w:val="-2"/>
          <w:sz w:val="28"/>
        </w:rPr>
        <w:t xml:space="preserve">П. 30 Доля населения, получившего жилые помещения и улучшившего жилищные условия в отчетном году, в общей численности населения, состоящего на учете в качестве нуждающегося в жилых помещениях.</w:t>
      </w:r>
      <w:r/>
    </w:p>
    <w:p>
      <w:pPr>
        <w:ind w:left="0" w:right="0" w:firstLine="709"/>
        <w:jc w:val="both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Доля населения, получившего жилые помещения и улучшившие жилищные условия</w:t>
      </w:r>
      <w:r>
        <w:rPr>
          <w:rFonts w:ascii="Times New Roman" w:hAnsi="Times New Roman" w:eastAsia="Times New Roman" w:cs="Times New Roman"/>
          <w:color w:val="000000" w:themeColor="text1"/>
          <w:sz w:val="28"/>
        </w:rPr>
        <w:t xml:space="preserve"> </w:t>
      </w:r>
      <w:r>
        <w:rPr>
          <w:rFonts w:ascii="Times New Roman" w:hAnsi="Times New Roman" w:eastAsia="Times New Roman" w:cs="Times New Roman"/>
          <w:color w:val="000000" w:themeColor="text1"/>
          <w:sz w:val="28"/>
        </w:rPr>
        <w:t xml:space="preserve">в отчетном году</w:t>
      </w:r>
      <w:r>
        <w:rPr>
          <w:rFonts w:ascii="Times New Roman" w:hAnsi="Times New Roman" w:eastAsia="Times New Roman" w:cs="Times New Roman"/>
          <w:color w:val="000000" w:themeColor="text1"/>
          <w:sz w:val="28"/>
        </w:rPr>
        <w:t xml:space="preserve">,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 в общей численности населения, состоящего на учете в качестве нуждающегося в жилых помещениях в 2022 году составила 6,64%, что</w:t>
      </w:r>
      <w:r>
        <w:rPr>
          <w:rFonts w:ascii="Times New Roman" w:hAnsi="Times New Roman" w:eastAsia="Times New Roman" w:cs="Times New Roman"/>
          <w:strike w:val="0"/>
          <w:color w:val="000000"/>
          <w:sz w:val="28"/>
        </w:rPr>
        <w:t xml:space="preserve"> на 2,34 процентных пункта больше, чем в 2021 году 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 (4,3 %).</w:t>
      </w:r>
      <w:r/>
    </w:p>
    <w:p>
      <w:pPr>
        <w:ind w:left="0" w:right="0" w:firstLine="709"/>
        <w:jc w:val="both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Численность членов семей, состоявших на учёте в качестве нуждающихся в жилых помещениях на конец прошлого года – 756 чел. Число семей, получивших жилые помещения и улучшивших жилищные условия, на конец отчетного года составило 16  ед. (численность членов с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емей – 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55 чел.), из них 7 – молодые семьи, 5 ветеранов боевых действий, 2 инвалида, 2 семьи получили дома по социальному найму. В течение года на учёт в качестве нуждающихся в жилых помещениях принято 27 семей и 32 семьи сняты с учёта (в связи с получением субсид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ий, а также в связи с утратой оснований). Число семей, состоявших на учёте в качестве нуждающихся в жилых помещениях, на конец отчетного года составило 236 ед. (численность членов семей – 734 чел.).</w:t>
      </w:r>
      <w:r/>
    </w:p>
    <w:p>
      <w:pPr>
        <w:ind w:left="0" w:right="0" w:firstLine="709"/>
        <w:jc w:val="both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В 2022 г. на мероприятия по улучшению жилищных условий граждан, проживающих в сельской местности, в рамках </w:t>
      </w:r>
      <w:r>
        <w:rPr>
          <w:rFonts w:ascii="Times New Roman" w:hAnsi="Times New Roman" w:eastAsia="Times New Roman" w:cs="Times New Roman"/>
          <w:color w:val="000000" w:themeColor="text1"/>
          <w:sz w:val="28"/>
        </w:rPr>
        <w:t xml:space="preserve">г</w:t>
      </w:r>
      <w:r>
        <w:rPr>
          <w:rFonts w:ascii="Times New Roman" w:hAnsi="Times New Roman" w:eastAsia="Times New Roman" w:cs="Times New Roman"/>
          <w:color w:val="000000" w:themeColor="text1"/>
          <w:sz w:val="28"/>
        </w:rPr>
        <w:t xml:space="preserve">ос</w:t>
      </w:r>
      <w:r>
        <w:rPr>
          <w:rFonts w:ascii="Times New Roman" w:hAnsi="Times New Roman" w:eastAsia="Times New Roman" w:cs="Times New Roman"/>
          <w:color w:val="000000" w:themeColor="text1"/>
          <w:sz w:val="28"/>
        </w:rPr>
        <w:t xml:space="preserve">ударственной</w:t>
      </w:r>
      <w:r>
        <w:rPr>
          <w:rFonts w:ascii="Times New Roman" w:hAnsi="Times New Roman" w:eastAsia="Times New Roman" w:cs="Times New Roman"/>
          <w:color w:val="000000" w:themeColor="text1"/>
          <w:sz w:val="28"/>
        </w:rPr>
        <w:t xml:space="preserve"> </w:t>
      </w:r>
      <w:r>
        <w:rPr>
          <w:rFonts w:ascii="Times New Roman" w:hAnsi="Times New Roman" w:eastAsia="Times New Roman" w:cs="Times New Roman"/>
          <w:color w:val="000000" w:themeColor="text1"/>
          <w:sz w:val="28"/>
        </w:rPr>
        <w:t xml:space="preserve">программы</w:t>
      </w:r>
      <w:r>
        <w:rPr>
          <w:rFonts w:ascii="Times New Roman" w:hAnsi="Times New Roman" w:eastAsia="Times New Roman" w:cs="Times New Roman"/>
          <w:color w:val="000000" w:themeColor="text1"/>
          <w:sz w:val="28"/>
        </w:rPr>
        <w:t xml:space="preserve"> </w:t>
      </w:r>
      <w:r>
        <w:rPr>
          <w:rFonts w:ascii="Times New Roman" w:hAnsi="Times New Roman" w:eastAsia="Times New Roman" w:cs="Times New Roman"/>
          <w:color w:val="000000" w:themeColor="text1"/>
          <w:sz w:val="28"/>
        </w:rPr>
        <w:t xml:space="preserve">Республики Алтай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 «Комплексное развитие сельских территорий» было выделено 1 442 667,5 руб., из них 1 401 899,4 руб. - федеральный бюджет, 14 160,6. - респуб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ликанский бюджет, 26 607,53 руб. - местный бюджет. Данные средства распределены среди 2 участников программы, 1 семья получила остаток выплаты с 2021 года, вторая семья получила часть от выплаты, оставшуюся часть 750 507,34 получит в 2023 году.</w:t>
      </w:r>
      <w:r/>
    </w:p>
    <w:p>
      <w:pPr>
        <w:ind w:left="0" w:right="0" w:firstLine="709"/>
        <w:jc w:val="both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На мероприятия по обеспечению жильем молодых семей государственной программы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 Российской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 Федерации «Обеспечение  доступным и комфортным жильем и коммунальными услугами граждан Российской Федерации» было выделено 2 482 200,00 р., из них  1 665 378,00 руб. - федеральный бюджет,  16 822,00 руб. -республиканский, 800 000,00 руб. - местный бюджет.</w:t>
      </w:r>
      <w:r/>
    </w:p>
    <w:p>
      <w:pPr>
        <w:ind w:left="0" w:right="0" w:firstLine="709"/>
        <w:jc w:val="both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Данные средства распределены среди 5 молодых семей, 3 из них многодетные.  </w:t>
      </w:r>
      <w:r/>
    </w:p>
    <w:p>
      <w:pPr>
        <w:ind w:left="0" w:right="0" w:firstLine="709"/>
        <w:jc w:val="both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На обеспечение жильем нуждающихся в улучшении жилищных условий отдельных категорий граждан, установленных Федеральным законом от 24.11.1995 г. № 181-ФЗ «О социальной защите инвалидов Российской Федерации», Федеральным законом от 12.01.1995 г. № 5-ФЗ «О вет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еранах», выделено из федерального бюджета 8 834 454,00 р.</w:t>
      </w:r>
      <w:r/>
    </w:p>
    <w:p>
      <w:pPr>
        <w:ind w:left="0" w:right="0" w:firstLine="0"/>
        <w:jc w:val="both"/>
        <w:spacing w:before="0" w:after="0"/>
        <w:rPr>
          <w:color w:val="000000" w:themeColor="text1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Данные средства распределены на 5 ветеранов боевых действий и 2 </w:t>
      </w:r>
      <w:r>
        <w:rPr>
          <w:rFonts w:ascii="Times New Roman" w:hAnsi="Times New Roman" w:eastAsia="Times New Roman" w:cs="Times New Roman"/>
          <w:color w:val="000000" w:themeColor="text1"/>
          <w:sz w:val="28"/>
        </w:rPr>
        <w:t xml:space="preserve">инвалида.</w:t>
      </w:r>
      <w:r>
        <w:rPr>
          <w:color w:val="000000" w:themeColor="text1"/>
        </w:rPr>
      </w:r>
      <w:r/>
    </w:p>
    <w:p>
      <w:pPr>
        <w:ind w:left="0" w:right="0" w:firstLine="709"/>
        <w:jc w:val="both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Итого всего выделенных средств 12 759 321,00 </w:t>
      </w:r>
      <w:r>
        <w:rPr>
          <w:rFonts w:ascii="Times New Roman" w:hAnsi="Times New Roman" w:eastAsia="Times New Roman" w:cs="Times New Roman"/>
          <w:color w:val="000000" w:themeColor="text1"/>
          <w:sz w:val="28"/>
        </w:rPr>
        <w:t xml:space="preserve">р</w:t>
      </w:r>
      <w:r>
        <w:rPr>
          <w:rFonts w:ascii="Times New Roman" w:hAnsi="Times New Roman" w:eastAsia="Times New Roman" w:cs="Times New Roman"/>
          <w:color w:val="000000" w:themeColor="text1"/>
          <w:sz w:val="28"/>
        </w:rPr>
        <w:t xml:space="preserve">.</w:t>
      </w:r>
      <w:r>
        <w:rPr>
          <w:rFonts w:ascii="Times New Roman" w:hAnsi="Times New Roman" w:eastAsia="Times New Roman" w:cs="Times New Roman"/>
          <w:color w:val="000000" w:themeColor="text1"/>
          <w:sz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 </w:t>
      </w:r>
      <w:r/>
    </w:p>
    <w:p>
      <w:pPr>
        <w:ind w:left="0" w:right="0" w:firstLine="709"/>
        <w:jc w:val="both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Финансовые средства, поступившие из федерального, республиканского и местного бюджетов использованы своевременно и в полном объеме.</w:t>
      </w:r>
      <w:r/>
    </w:p>
    <w:p>
      <w:pPr>
        <w:ind w:left="0" w:right="0" w:firstLine="709"/>
        <w:jc w:val="both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 </w:t>
      </w:r>
      <w:r/>
    </w:p>
    <w:tbl>
      <w:tblPr>
        <w:tblStyle w:val="730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autofit"/>
        <w:tblLook w:val="04A0" w:firstRow="1" w:lastRow="0" w:firstColumn="1" w:lastColumn="0" w:noHBand="0" w:noVBand="1"/>
      </w:tblPr>
      <w:tblGrid>
        <w:gridCol w:w="2943"/>
        <w:gridCol w:w="1729"/>
        <w:gridCol w:w="2336"/>
        <w:gridCol w:w="2336"/>
      </w:tblGrid>
      <w:tr>
        <w:trPr/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94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 xml:space="preserve">Категории граждан</w:t>
            </w:r>
            <w:r/>
          </w:p>
        </w:tc>
        <w:tc>
          <w:tcPr>
            <w:tcBorders>
              <w:top w:val="single" w:color="000000" w:sz="8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729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 xml:space="preserve">на начало года, семей</w:t>
            </w:r>
            <w:r/>
          </w:p>
        </w:tc>
        <w:tc>
          <w:tcPr>
            <w:tcBorders>
              <w:top w:val="single" w:color="000000" w:sz="8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336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 xml:space="preserve">Число семей, получивших жилые помещения и улучшивших жилищные условия</w:t>
            </w:r>
            <w:r/>
          </w:p>
        </w:tc>
        <w:tc>
          <w:tcPr>
            <w:tcBorders>
              <w:top w:val="single" w:color="000000" w:sz="8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336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 xml:space="preserve">на конец года, семей</w:t>
            </w:r>
            <w:r/>
          </w:p>
        </w:tc>
      </w:tr>
      <w:tr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943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 xml:space="preserve">молодые семьи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729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 xml:space="preserve">23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33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 xml:space="preserve">              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336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 xml:space="preserve">25</w:t>
            </w:r>
            <w:r/>
          </w:p>
        </w:tc>
      </w:tr>
      <w:tr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943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 xml:space="preserve">граждане, стоящие в очереди по программе КРСТ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729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 xml:space="preserve">37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336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 xml:space="preserve">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336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 xml:space="preserve">35</w:t>
            </w:r>
            <w:r/>
          </w:p>
        </w:tc>
      </w:tr>
      <w:tr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943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 xml:space="preserve">ветераны боевых действий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729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 xml:space="preserve">19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336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 xml:space="preserve">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336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 xml:space="preserve">13</w:t>
            </w:r>
            <w:r/>
          </w:p>
        </w:tc>
      </w:tr>
      <w:tr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943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 xml:space="preserve">инвалиды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729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 xml:space="preserve">7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336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 xml:space="preserve">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336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 xml:space="preserve">5</w:t>
            </w:r>
            <w:r/>
          </w:p>
        </w:tc>
      </w:tr>
      <w:tr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943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 xml:space="preserve">малоимущие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729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 xml:space="preserve">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336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 xml:space="preserve">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336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 xml:space="preserve">7</w:t>
            </w:r>
            <w:r/>
          </w:p>
        </w:tc>
      </w:tr>
      <w:tr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943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 xml:space="preserve">всего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729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 xml:space="preserve">91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336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 xml:space="preserve">16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336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 xml:space="preserve">85</w:t>
            </w:r>
            <w:r/>
          </w:p>
        </w:tc>
      </w:tr>
    </w:tbl>
    <w:p>
      <w:pPr>
        <w:ind w:left="0" w:right="0" w:firstLine="709"/>
        <w:jc w:val="both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70ad47"/>
          <w:sz w:val="28"/>
        </w:rPr>
        <w:t xml:space="preserve"> </w:t>
      </w:r>
      <w:r/>
    </w:p>
    <w:p>
      <w:pPr>
        <w:ind w:left="0" w:right="0" w:firstLine="709"/>
        <w:jc w:val="both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В 2023 г. в рамках</w:t>
      </w:r>
      <w:r>
        <w:rPr>
          <w:rFonts w:ascii="Times New Roman" w:hAnsi="Times New Roman" w:eastAsia="Times New Roman" w:cs="Times New Roman"/>
          <w:color w:val="000000" w:themeColor="text1"/>
          <w:sz w:val="28"/>
        </w:rPr>
        <w:t xml:space="preserve"> программы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 «Комплексное развитие сельских территорий» поступит 750 507,34</w:t>
      </w:r>
      <w:r>
        <w:rPr>
          <w:rFonts w:ascii="Times New Roman" w:hAnsi="Times New Roman" w:eastAsia="Times New Roman" w:cs="Times New Roman"/>
          <w:color w:val="000000" w:themeColor="text1"/>
          <w:sz w:val="28"/>
        </w:rPr>
        <w:t xml:space="preserve"> </w:t>
      </w:r>
      <w:r>
        <w:rPr>
          <w:rFonts w:ascii="Times New Roman" w:hAnsi="Times New Roman" w:eastAsia="Times New Roman" w:cs="Times New Roman"/>
          <w:color w:val="000000" w:themeColor="text1"/>
          <w:sz w:val="28"/>
        </w:rPr>
        <w:t xml:space="preserve">р.</w:t>
      </w:r>
      <w:r>
        <w:rPr>
          <w:rFonts w:ascii="Times New Roman" w:hAnsi="Times New Roman" w:eastAsia="Times New Roman" w:cs="Times New Roman"/>
          <w:color w:val="000000" w:themeColor="text1"/>
          <w:sz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(федеральный 728 142,20 р, республиканский -7354,99 </w:t>
      </w:r>
      <w:r>
        <w:rPr>
          <w:rFonts w:ascii="Times New Roman" w:hAnsi="Times New Roman" w:eastAsia="Times New Roman" w:cs="Times New Roman"/>
          <w:color w:val="000000" w:themeColor="text1"/>
          <w:sz w:val="28"/>
        </w:rPr>
        <w:t xml:space="preserve">р.</w:t>
      </w:r>
      <w:r>
        <w:rPr>
          <w:rFonts w:ascii="Times New Roman" w:hAnsi="Times New Roman" w:eastAsia="Times New Roman" w:cs="Times New Roman"/>
          <w:color w:val="000000" w:themeColor="text1"/>
          <w:sz w:val="28"/>
        </w:rPr>
        <w:t xml:space="preserve">,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 местный 15 010,15 р.) на остаток выплаты молодой семье. </w:t>
      </w:r>
      <w:r/>
    </w:p>
    <w:p>
      <w:pPr>
        <w:ind w:left="0" w:right="0" w:firstLine="709"/>
        <w:jc w:val="both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В рамках мероприятия по обеспечению жильем молодых семей государственной 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программы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 Российской Федерации «Обеспечение  доступным и комфортным жильем и коммунальными услугами граждан Российской Федерации»</w:t>
      </w:r>
      <w:r>
        <w:rPr>
          <w:rFonts w:ascii="Times New Roman" w:hAnsi="Times New Roman" w:eastAsia="Times New Roman" w:cs="Times New Roman"/>
          <w:color w:val="000000"/>
          <w:sz w:val="28"/>
          <w:highlight w:val="white"/>
        </w:rPr>
        <w:t xml:space="preserve"> </w:t>
      </w:r>
      <w:r>
        <w:rPr>
          <w:rFonts w:ascii="Times New Roman" w:hAnsi="Times New Roman" w:eastAsia="Times New Roman" w:cs="Times New Roman"/>
          <w:color w:val="000000"/>
          <w:sz w:val="28"/>
          <w:highlight w:val="white"/>
        </w:rPr>
        <w:t xml:space="preserve">поступит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 в  2023 г. 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6 154 394,55 р. из них из федерального бюджета 5 009 222,59 р., республиканского-50 598,21 р., местного -1094 573,75 р. Данные 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средства будут распределены на 15 семей.</w:t>
      </w:r>
      <w:r/>
    </w:p>
    <w:p>
      <w:pPr>
        <w:ind w:left="0" w:right="0" w:firstLine="709"/>
        <w:jc w:val="both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Выплата в соответствии с Федеральным законом от 12.01.1995 г. № 5-ФЗ «О ветеранах»,  планируется на 4 ветерана боевых действий, и 1 инвалида - выплата отдельным категориям граждан, установленных  Федеральным законом от 24.11.1995 г. № 181-ФЗ «О социальной 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защите инвалидов Российской Федерации». </w:t>
      </w:r>
      <w:r/>
    </w:p>
    <w:p>
      <w:pPr>
        <w:ind w:left="0" w:right="0" w:firstLine="709"/>
        <w:jc w:val="both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Всего  в 2023 году- 21 семья улучшит жилищные условия.</w:t>
      </w:r>
      <w:r>
        <w:rPr>
          <w:rFonts w:ascii="Times New Roman" w:hAnsi="Times New Roman" w:eastAsia="Times New Roman" w:cs="Times New Roman"/>
          <w:sz w:val="24"/>
        </w:rPr>
      </w:r>
      <w:r/>
    </w:p>
    <w:p>
      <w:pPr>
        <w:pStyle w:val="874"/>
        <w:ind w:firstLine="567"/>
        <w:jc w:val="both"/>
        <w:rPr>
          <w:b/>
          <w:spacing w:val="-2"/>
          <w:sz w:val="26"/>
          <w:szCs w:val="26"/>
        </w:rPr>
      </w:pPr>
      <w:r>
        <w:rPr>
          <w:b/>
          <w:spacing w:val="-2"/>
          <w:sz w:val="26"/>
          <w:szCs w:val="26"/>
        </w:rPr>
      </w:r>
      <w:r/>
    </w:p>
    <w:p>
      <w:pPr>
        <w:pStyle w:val="874"/>
        <w:ind w:firstLine="567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П</w:t>
      </w:r>
      <w:r>
        <w:rPr>
          <w:b/>
          <w:sz w:val="26"/>
          <w:szCs w:val="26"/>
        </w:rPr>
        <w:t xml:space="preserve">. 31 </w:t>
      </w:r>
      <w:r>
        <w:rPr>
          <w:b/>
          <w:sz w:val="26"/>
          <w:szCs w:val="26"/>
        </w:rPr>
        <w:t xml:space="preserve">Доля налоговых и неналоговых доходов местно</w:t>
      </w:r>
      <w:r>
        <w:rPr>
          <w:b/>
          <w:sz w:val="26"/>
          <w:szCs w:val="26"/>
        </w:rPr>
        <w:t xml:space="preserve">го бюджета (за исключением пост</w:t>
      </w:r>
      <w:r>
        <w:rPr>
          <w:b/>
          <w:sz w:val="26"/>
          <w:szCs w:val="26"/>
        </w:rPr>
        <w:t xml:space="preserve">у</w:t>
      </w:r>
      <w:r>
        <w:rPr>
          <w:b/>
          <w:sz w:val="26"/>
          <w:szCs w:val="26"/>
        </w:rPr>
        <w:t xml:space="preserve">п</w:t>
      </w:r>
      <w:r>
        <w:rPr>
          <w:b/>
          <w:sz w:val="26"/>
          <w:szCs w:val="26"/>
        </w:rPr>
        <w:t xml:space="preserve">лений налоговых доходов по дополнительным нормативам отчислений) в общем объеме собственных доходов бюджета муниципального образования (без учета субвенций)</w:t>
      </w:r>
      <w:r>
        <w:rPr>
          <w:b/>
          <w:sz w:val="26"/>
          <w:szCs w:val="26"/>
        </w:rPr>
        <w:t xml:space="preserve">.</w:t>
      </w:r>
      <w:r>
        <w:rPr>
          <w:b/>
          <w:sz w:val="26"/>
          <w:szCs w:val="26"/>
        </w:rPr>
      </w:r>
      <w:r/>
    </w:p>
    <w:p>
      <w:pPr>
        <w:ind w:left="0" w:right="0" w:firstLine="0"/>
        <w:jc w:val="both"/>
        <w:spacing w:before="0" w:after="0"/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    Доля 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налоговых и неналоговых доходов 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 местного бюджета (за исключением поступлений налоговых доходов по дополнительным нормативам отчислений) в общем объеме собственных доходов бюджета муниципального образования (без учета субвенции)</w:t>
      </w:r>
      <w:r>
        <w:rPr>
          <w:rFonts w:ascii="Times New Roman" w:hAnsi="Times New Roman" w:eastAsia="Times New Roman" w:cs="Times New Roman"/>
          <w:b/>
          <w:color w:val="000000"/>
          <w:sz w:val="28"/>
        </w:rPr>
        <w:t xml:space="preserve"> 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в отчетном году составила 26,6 %, что больше предыдущего года на 4,7  процентных пунктов в связи с увеличением поступления 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налоговых и неналоговых доходов 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на 17,7% и снижением объема  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безвозмездных поступлений на 8,8 %.  </w:t>
      </w:r>
      <w:r/>
    </w:p>
    <w:p>
      <w:pPr>
        <w:ind w:left="0" w:right="0" w:firstLine="0"/>
        <w:jc w:val="both"/>
        <w:spacing w:before="0" w:after="0"/>
        <w:rPr>
          <w:sz w:val="22"/>
          <w:szCs w:val="22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highlight w:val="none"/>
        </w:rPr>
        <w:t xml:space="preserve">         Увеличение налоговых и неналоговых доходов в сравнении с 2021 годом составило 34 990,7 тыс. рублей.</w:t>
      </w:r>
      <w:r>
        <w:rPr>
          <w:rFonts w:ascii="Times New Roman" w:hAnsi="Times New Roman" w:eastAsia="Times New Roman" w:cs="Times New Roman"/>
          <w:color w:val="000000"/>
          <w:sz w:val="28"/>
          <w:highlight w:val="none"/>
        </w:rPr>
      </w:r>
      <w:r/>
    </w:p>
    <w:p>
      <w:pPr>
        <w:ind w:left="0" w:right="0" w:firstLine="0"/>
        <w:jc w:val="both"/>
        <w:spacing w:before="0" w:after="0"/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       Снижение безвозмездных поступлений (без учета субвенций) в сравнении с 2021 г. составило   62 166,7 тыс. рублей, в том числе по 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дотации бюджетам бюджетной системы Российской Федерации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 на 13 158,5 тыс. рублей или  6,0 % и по иным межбюджетным трансфертам 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на 51 985,4 тыс. рублей или на 65,5%, из них по 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межбюджетным трансфертам, передаваемым бюджетам муниципальных районов на реализацию мероприятий индивидуальных программ социально-экономического развития Республики Алтай, Республики Карелия и Республики Тыва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 на 52 099,5 тыс. рублей или на 98,1 %.</w:t>
      </w:r>
      <w:r>
        <w:rPr>
          <w:sz w:val="22"/>
        </w:rPr>
      </w:r>
      <w:r/>
    </w:p>
    <w:p>
      <w:pPr>
        <w:ind w:left="0" w:right="0" w:firstLine="705"/>
        <w:jc w:val="both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В планируемом периоде ожидается: в 2023 г. увеличение доли налоговых и неналоговых доходов местного бюджета (за исключением поступлений налоговых доходов по дополнительным нормативам отчислений) в общем объеме собственных доходов бюджета муниципального обр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азования (без учета субвенций) до 34,8 % в связи с уменьшением объема безвозмездных поступлений (без учета субвенций) на 137 130,2 тыс. рублей или на 15,6 %, в 2024 г. увеличение до 46,0 % в связи с уменьшением 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 объема безвозмездных поступлений (без учета субвенций) на 204 715,2 тыс.. рублей или на 42,4%, и 2025 г. увеличение до 47,4 % объясняется увеличением объема налоговых и неналоговых доходов.</w:t>
      </w:r>
      <w:r/>
    </w:p>
    <w:p>
      <w:pPr>
        <w:pStyle w:val="874"/>
        <w:ind w:firstLine="0"/>
        <w:jc w:val="both"/>
        <w:rPr>
          <w:sz w:val="26"/>
          <w:szCs w:val="26"/>
        </w:rPr>
      </w:pPr>
      <w:r>
        <w:rPr>
          <w:sz w:val="26"/>
          <w:szCs w:val="26"/>
        </w:rPr>
      </w:r>
      <w:r/>
    </w:p>
    <w:p>
      <w:pPr>
        <w:pStyle w:val="874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</w:r>
      <w:r/>
    </w:p>
    <w:p>
      <w:pPr>
        <w:pStyle w:val="874"/>
        <w:ind w:firstLine="567"/>
        <w:jc w:val="both"/>
        <w:rPr>
          <w:b/>
          <w:spacing w:val="-2"/>
          <w:sz w:val="26"/>
          <w:szCs w:val="26"/>
        </w:rPr>
      </w:pPr>
      <w:r>
        <w:rPr>
          <w:b/>
          <w:spacing w:val="-2"/>
          <w:sz w:val="26"/>
          <w:szCs w:val="26"/>
        </w:rPr>
        <w:t xml:space="preserve">П.32</w:t>
      </w:r>
      <w:r>
        <w:rPr>
          <w:b/>
          <w:spacing w:val="-2"/>
          <w:sz w:val="26"/>
          <w:szCs w:val="26"/>
        </w:rPr>
        <w:t xml:space="preserve"> Доля основных фондов организаций муниципальной формы собственности, находящихся в стадии банкротства, в основных фондах организаций муниципальной формы собственности (на конец года, по полной учетной стоимости)</w:t>
      </w:r>
      <w:r>
        <w:rPr>
          <w:b/>
          <w:spacing w:val="-2"/>
          <w:sz w:val="26"/>
          <w:szCs w:val="26"/>
        </w:rPr>
        <w:t xml:space="preserve">.</w:t>
      </w:r>
      <w:r>
        <w:rPr>
          <w:b/>
          <w:spacing w:val="-2"/>
          <w:sz w:val="26"/>
          <w:szCs w:val="26"/>
        </w:rPr>
      </w:r>
      <w:r/>
    </w:p>
    <w:p>
      <w:pPr>
        <w:ind w:left="0" w:right="0" w:firstLine="705"/>
        <w:jc w:val="both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Доля стоимости основных фондов организаций муниципальной формы собственности, находящихся в стадии банкротства, в основных фондах организаций муниципальной формы собственности (на конец года, по полной учетной стоимости)</w:t>
      </w:r>
      <w:r>
        <w:rPr>
          <w:rFonts w:ascii="Times New Roman" w:hAnsi="Times New Roman" w:eastAsia="Times New Roman" w:cs="Times New Roman"/>
          <w:b/>
          <w:color w:val="000000"/>
          <w:sz w:val="28"/>
        </w:rPr>
        <w:t xml:space="preserve"> 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составила в 2022 г. 0 %, что соответствует уровню 2021 г., так как организации муниципальной формы собственности, находящиеся в стадии банкротства, на территории муниципального района отсутствуют.   </w:t>
      </w:r>
      <w:r/>
    </w:p>
    <w:p>
      <w:pPr>
        <w:ind w:left="0" w:right="0" w:firstLine="720"/>
        <w:jc w:val="both"/>
        <w:spacing w:before="0" w:after="0" w:line="68" w:lineRule="atLeast"/>
        <w:rPr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Полн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ая учетная стоимость основных фондов организаций муниципальной формы собственности по итогам 2022 г. составила 1128451,1 тыс. рублей, что на 5,4 % больше учетной стоимости основных фондов организаций муниципальной формы собственности предыдущего года. Увел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ичение стоимости имущества в отчетном периоде сложилось в связи с  приобретением  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8"/>
          <w:szCs w:val="28"/>
        </w:rPr>
        <w:t xml:space="preserve">оборудования на 12 558,2 тыс.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8"/>
          <w:szCs w:val="28"/>
        </w:rPr>
        <w:t xml:space="preserve"> рублей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(для новой школы в с. Усть-Кокса компьютерное оборудование на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3304,9 тыс.  руб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, лабораторные комплексы на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2127,6 тыс. руб.,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цифровые лаборатории на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1923,351 тыс. руб.,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на 12145,0 тыс. руб. световое и звуковое оборудование для домов культуры и д.р.), приобретением 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производственного и хозяйственного инвентаря на 21359,3 тыс. руб.</w:t>
      </w:r>
      <w:r>
        <w:rPr>
          <w:sz w:val="28"/>
          <w:szCs w:val="28"/>
        </w:rPr>
        <w:t xml:space="preserve"> (для новой школы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мебель на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12911,8 тыс. руб.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, комплект для лабораторного практикума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3948,1 тыс. руб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спортивный инвентарь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на 2426,6 тыс. руб. и д.р.)</w:t>
      </w:r>
      <w:r>
        <w:rPr>
          <w:sz w:val="28"/>
          <w:szCs w:val="28"/>
        </w:rPr>
        <w:t xml:space="preserve">,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переданы безвозмездно транспортные средства (специальные, автобусы для перевозки детей) на общую сумму 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11 078,2 тыс.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руб., сельскими поселениями приобретены и установлены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игровые комплексы, тренажёры, детские-спортивные площадки на  3654,9 тыс. руб. и 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линии уличного освещения на сумму 4518,3 тыс. руб.</w:t>
      </w:r>
      <w:r>
        <w:rPr>
          <w:sz w:val="28"/>
          <w:szCs w:val="28"/>
        </w:rPr>
      </w:r>
      <w:r/>
    </w:p>
    <w:p>
      <w:pPr>
        <w:ind w:left="0" w:right="0" w:firstLine="705"/>
        <w:jc w:val="both"/>
        <w:spacing w:before="0" w:after="0"/>
        <w:rPr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В плановом периоде планируется увеличение полной уч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етной стоимости основных фондов организаций муниципальной формы собственности в связи с вводом в эксплуатацию объектов муниципальной собственности по завершенным объектам капитального строительства и приобретением компьютерного и иного оборудования, так в 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2023 г. планир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уется ввести в эксплуатацию здание сельского клуба в с. Сугаш  стоимостью 60 000 тыс. рублей, рост на 5,3%, незначительный рост в 2024 г на 500,0 тыс. рублей, в 2025г </w:t>
      </w:r>
      <w:r>
        <w:rPr>
          <w:spacing w:val="-4"/>
          <w:sz w:val="28"/>
          <w:szCs w:val="28"/>
        </w:rPr>
        <w:t xml:space="preserve">на 750,0 тыс. рублей.</w:t>
      </w:r>
      <w:r>
        <w:rPr>
          <w:sz w:val="28"/>
          <w:szCs w:val="28"/>
        </w:rPr>
      </w:r>
      <w:r/>
    </w:p>
    <w:p>
      <w:pPr>
        <w:pStyle w:val="874"/>
        <w:ind w:firstLine="567"/>
        <w:jc w:val="both"/>
        <w:rPr>
          <w:spacing w:val="-4"/>
          <w:sz w:val="26"/>
          <w:szCs w:val="26"/>
        </w:rPr>
      </w:pPr>
      <w:r>
        <w:rPr>
          <w:spacing w:val="-4"/>
          <w:sz w:val="26"/>
          <w:szCs w:val="26"/>
        </w:rPr>
      </w:r>
      <w:r/>
    </w:p>
    <w:p>
      <w:pPr>
        <w:pStyle w:val="874"/>
        <w:ind w:firstLine="567"/>
        <w:jc w:val="both"/>
        <w:rPr>
          <w:b/>
          <w:spacing w:val="-2"/>
          <w:sz w:val="26"/>
          <w:szCs w:val="26"/>
        </w:rPr>
      </w:pPr>
      <w:r>
        <w:rPr>
          <w:b/>
          <w:spacing w:val="-2"/>
          <w:sz w:val="26"/>
          <w:szCs w:val="26"/>
        </w:rPr>
        <w:t xml:space="preserve">П. 33 Объем не завершенного в установленные сроки строительства, осуществляемого за счет средств бюджета городского округа</w:t>
      </w:r>
      <w:r>
        <w:rPr>
          <w:b/>
          <w:spacing w:val="-2"/>
          <w:sz w:val="26"/>
          <w:szCs w:val="26"/>
        </w:rPr>
        <w:t xml:space="preserve"> (муниципального района).</w:t>
      </w:r>
      <w:r>
        <w:rPr>
          <w:b/>
          <w:spacing w:val="-2"/>
          <w:sz w:val="26"/>
          <w:szCs w:val="26"/>
        </w:rPr>
      </w:r>
      <w:r/>
    </w:p>
    <w:p>
      <w:pPr>
        <w:ind w:left="0" w:right="0" w:firstLine="555"/>
        <w:jc w:val="both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Объем не завершенного в установленные сроки строительства, осуществляемого за счет средств бюджета муниципального района в отчетном периоде - 0,00 тыс. рублей. На плановый период 2023 - 2025 годы – 0 тыс. рублей. </w:t>
      </w:r>
      <w:r/>
    </w:p>
    <w:p>
      <w:pPr>
        <w:pStyle w:val="874"/>
        <w:ind w:firstLine="567"/>
        <w:jc w:val="both"/>
        <w:rPr>
          <w:spacing w:val="-4"/>
          <w:sz w:val="26"/>
          <w:szCs w:val="26"/>
        </w:rPr>
      </w:pPr>
      <w:r>
        <w:rPr>
          <w:spacing w:val="-4"/>
          <w:sz w:val="26"/>
          <w:szCs w:val="26"/>
        </w:rPr>
      </w:r>
      <w:r/>
    </w:p>
    <w:p>
      <w:pPr>
        <w:pStyle w:val="874"/>
        <w:ind w:firstLine="567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П</w:t>
      </w:r>
      <w:r>
        <w:rPr>
          <w:b/>
          <w:sz w:val="26"/>
          <w:szCs w:val="26"/>
        </w:rPr>
        <w:t xml:space="preserve">. 34 </w:t>
      </w:r>
      <w:r>
        <w:rPr>
          <w:b/>
          <w:sz w:val="26"/>
          <w:szCs w:val="26"/>
        </w:rPr>
        <w:t xml:space="preserve">Доля просроченной кредиторской задолженности по оплате труда (включая начисления на оплату труда) муниципальных учреждений в общем объеме расходов муниципального образования на оплату труда (включая начисления на оплату труда)</w:t>
      </w:r>
      <w:r>
        <w:rPr>
          <w:b/>
          <w:sz w:val="26"/>
          <w:szCs w:val="26"/>
        </w:rPr>
        <w:t xml:space="preserve">.</w:t>
      </w:r>
      <w:r>
        <w:rPr>
          <w:b/>
          <w:sz w:val="26"/>
          <w:szCs w:val="26"/>
        </w:rPr>
      </w:r>
      <w:r/>
    </w:p>
    <w:p>
      <w:pPr>
        <w:ind w:left="0" w:right="0" w:firstLine="705"/>
        <w:jc w:val="both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Доля просроченной кредиторской задолженности по оплате труда (включая начисления на оплату труда) муниципальных учреждений в общем объеме расходов муниципального образования на оплату труда (включая начисления на оплату труда) в отчетном году составляет 0%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. На плановый период 2023 - 2025 годы – 0 %. </w:t>
      </w:r>
      <w:r/>
    </w:p>
    <w:p>
      <w:pPr>
        <w:ind w:left="0" w:right="0" w:firstLine="705"/>
        <w:jc w:val="both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Всего 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в 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2022 году на оплату труда (включая начисления на оплату труда) муниципальных учреждений направлено 665568,019 тыс. рублей, что больше на 10,7 процентных пунктов 2021 года, в связи с увеличением МРОТ, реализацией Указов Президента Российской Федерации и пов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ышением оплаты труда работникам бюджетной сферы с 1 октября 2022 года. </w:t>
      </w:r>
      <w:r/>
    </w:p>
    <w:p>
      <w:pPr>
        <w:pStyle w:val="874"/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874"/>
        <w:ind w:firstLine="567"/>
        <w:jc w:val="both"/>
        <w:rPr>
          <w:b/>
          <w:bCs/>
          <w:sz w:val="26"/>
          <w:szCs w:val="26"/>
          <w:highlight w:val="none"/>
        </w:rPr>
      </w:pPr>
      <w:r>
        <w:rPr>
          <w:b/>
          <w:sz w:val="28"/>
          <w:szCs w:val="28"/>
        </w:rPr>
        <w:t xml:space="preserve">П</w:t>
      </w:r>
      <w:r>
        <w:rPr>
          <w:b/>
          <w:sz w:val="26"/>
          <w:szCs w:val="26"/>
        </w:rPr>
        <w:t xml:space="preserve">. 35 </w:t>
      </w:r>
      <w:r>
        <w:rPr>
          <w:b/>
          <w:sz w:val="26"/>
          <w:szCs w:val="26"/>
        </w:rPr>
        <w:t xml:space="preserve">Расходы бюджета муниципального образования на содержание работников органов местного самоуправления в расчете на одного жителя муниципального образования</w:t>
      </w:r>
      <w:r>
        <w:rPr>
          <w:b/>
          <w:sz w:val="26"/>
          <w:szCs w:val="26"/>
        </w:rPr>
        <w:t xml:space="preserve">.</w:t>
      </w:r>
      <w:r>
        <w:rPr>
          <w:b/>
          <w:sz w:val="26"/>
          <w:szCs w:val="26"/>
        </w:rPr>
      </w:r>
      <w:r/>
    </w:p>
    <w:p>
      <w:pPr>
        <w:ind w:left="0" w:right="0" w:firstLine="705"/>
        <w:jc w:val="both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Расходы бюджета МО «Усть-Коксинский район» на содержание работников органов местного самоуправления в расчете на одного жителя муниципального образования в отчетном году составили 5978,762 руб., что больше предыдущего года на 2101,164 руб.</w:t>
      </w:r>
      <w:r>
        <w:rPr>
          <w:rFonts w:ascii="Times New Roman" w:hAnsi="Times New Roman" w:eastAsia="Times New Roman" w:cs="Times New Roman"/>
          <w:color w:val="ff0000"/>
          <w:sz w:val="28"/>
        </w:rPr>
        <w:t xml:space="preserve"> 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или на 0,76 %</w:t>
      </w:r>
      <w:r>
        <w:rPr>
          <w:rFonts w:ascii="Times New Roman" w:hAnsi="Times New Roman" w:eastAsia="Times New Roman" w:cs="Times New Roman"/>
          <w:color w:val="ff0000"/>
          <w:sz w:val="28"/>
        </w:rPr>
        <w:t xml:space="preserve"> 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в связи с отнесением расходов на содержание р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аботников органов местного самоуправления сельскими поселениями по работникам бухгалтерий, сельских клубов и специалистов по земельным вопросам, а также повышением МРОТ и оплаты труда работников органов местного самоуправления с 1 октября 2022 года на 4%. </w:t>
      </w:r>
      <w:r/>
    </w:p>
    <w:p>
      <w:pPr>
        <w:ind w:left="0" w:right="0" w:firstLine="705"/>
        <w:jc w:val="both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В 2023 г ожидается увеличение расходов до 6232,180  рублей или на 4 %, снижение расходов в 2024 году до 6212,505 рублей или на 0,3 % и 2025 году до 6185,154 рублей или   на 0,4 % к предыдущему году.  </w:t>
      </w:r>
      <w:r/>
    </w:p>
    <w:p>
      <w:pPr>
        <w:ind w:firstLine="567"/>
        <w:jc w:val="both"/>
        <w:rPr>
          <w:b/>
          <w:bCs/>
          <w:sz w:val="26"/>
          <w:szCs w:val="26"/>
        </w:rPr>
      </w:pPr>
      <w:r>
        <w:rPr>
          <w:b/>
          <w:sz w:val="26"/>
          <w:szCs w:val="26"/>
          <w:highlight w:val="none"/>
        </w:rPr>
      </w:r>
      <w:r>
        <w:rPr>
          <w:b/>
          <w:sz w:val="26"/>
          <w:szCs w:val="26"/>
          <w:highlight w:val="none"/>
        </w:rPr>
      </w:r>
      <w:r/>
    </w:p>
    <w:p>
      <w:pPr>
        <w:pStyle w:val="874"/>
        <w:ind w:firstLine="567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</w:r>
      <w:r/>
    </w:p>
    <w:p>
      <w:pPr>
        <w:pStyle w:val="874"/>
        <w:ind w:left="-567"/>
        <w:jc w:val="both"/>
        <w:rPr>
          <w:sz w:val="26"/>
          <w:szCs w:val="26"/>
        </w:rPr>
      </w:pPr>
      <w:r>
        <w:rPr>
          <w:sz w:val="26"/>
          <w:szCs w:val="26"/>
        </w:rPr>
      </w:r>
      <w:r/>
    </w:p>
    <w:p>
      <w:pPr>
        <w:pStyle w:val="874"/>
        <w:ind w:firstLine="567"/>
        <w:jc w:val="both"/>
        <w:rPr>
          <w:b/>
          <w:bCs/>
          <w:spacing w:val="-2"/>
          <w:sz w:val="26"/>
          <w:szCs w:val="26"/>
          <w:highlight w:val="none"/>
        </w:rPr>
      </w:pPr>
      <w:r>
        <w:rPr>
          <w:b/>
          <w:spacing w:val="-2"/>
          <w:sz w:val="26"/>
          <w:szCs w:val="26"/>
        </w:rPr>
        <w:t xml:space="preserve">П. 36 Наличие в городском округе (муниципальном районе) утвержденного генерального плана городского округа (схемы территориального планирования муниципального района)</w:t>
      </w:r>
      <w:r>
        <w:rPr>
          <w:b/>
          <w:spacing w:val="-2"/>
          <w:sz w:val="26"/>
          <w:szCs w:val="26"/>
        </w:rPr>
        <w:t xml:space="preserve">.</w:t>
      </w:r>
      <w:r>
        <w:rPr>
          <w:b/>
          <w:spacing w:val="-2"/>
          <w:sz w:val="26"/>
          <w:szCs w:val="26"/>
        </w:rPr>
      </w:r>
      <w:r/>
    </w:p>
    <w:p>
      <w:pPr>
        <w:ind w:left="0" w:right="0" w:firstLine="540"/>
        <w:jc w:val="both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Схема территориального планирования утверждена решением сессии совета депутатов МО «Усть-Коксинский район» от 12.11.2010 года № 21-5. Генеральные планы всех сельских поселений утверждены в 2012 году.</w:t>
      </w:r>
      <w:r/>
    </w:p>
    <w:p>
      <w:pPr>
        <w:pStyle w:val="874"/>
        <w:ind w:firstLine="567"/>
        <w:jc w:val="both"/>
        <w:rPr>
          <w:b/>
          <w:spacing w:val="-2"/>
          <w:sz w:val="26"/>
          <w:szCs w:val="26"/>
        </w:rPr>
      </w:pPr>
      <w:r>
        <w:rPr>
          <w:b/>
          <w:spacing w:val="-2"/>
          <w:sz w:val="26"/>
          <w:szCs w:val="26"/>
        </w:rPr>
      </w:r>
      <w:r/>
    </w:p>
    <w:p>
      <w:pPr>
        <w:pStyle w:val="874"/>
        <w:ind w:firstLine="567"/>
        <w:jc w:val="both"/>
        <w:rPr>
          <w:b/>
          <w:spacing w:val="-2"/>
          <w:sz w:val="26"/>
          <w:szCs w:val="26"/>
        </w:rPr>
      </w:pPr>
      <w:r>
        <w:rPr>
          <w:b/>
          <w:spacing w:val="-2"/>
          <w:sz w:val="26"/>
          <w:szCs w:val="26"/>
        </w:rPr>
        <w:t xml:space="preserve">П. 37 Удовлетворенность населения деятельностью органов местного самоуправления городского округа (муниципального района)</w:t>
      </w:r>
      <w:r>
        <w:rPr>
          <w:b/>
          <w:spacing w:val="-2"/>
          <w:sz w:val="26"/>
          <w:szCs w:val="26"/>
        </w:rPr>
      </w:r>
      <w:r/>
    </w:p>
    <w:p>
      <w:pPr>
        <w:ind w:left="0" w:right="0" w:firstLine="709"/>
        <w:jc w:val="both"/>
        <w:spacing w:before="0" w:after="0"/>
        <w:rPr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highlight w:val="white"/>
        </w:rPr>
        <w:t xml:space="preserve">Удовлетворенность населения деятельностью органов местного самоуправления муниципального образования «Усть-Коксинский  район» за 2022 г. составила 67,1%, по сравнению с 2021 годом показатель  снизился на </w:t>
      </w:r>
      <w:r>
        <w:rPr>
          <w:rFonts w:ascii="Times New Roman" w:hAnsi="Times New Roman" w:eastAsia="Times New Roman" w:cs="Times New Roman"/>
          <w:strike w:val="0"/>
          <w:color w:val="000000" w:themeColor="text1"/>
          <w:sz w:val="28"/>
          <w:highlight w:val="white"/>
        </w:rPr>
        <w:t xml:space="preserve">74 %</w:t>
      </w:r>
      <w:r>
        <w:rPr>
          <w:rFonts w:ascii="Times New Roman" w:hAnsi="Times New Roman" w:eastAsia="Times New Roman" w:cs="Times New Roman"/>
          <w:strike/>
          <w:color w:val="000000" w:themeColor="text1"/>
          <w:sz w:val="28"/>
          <w:highlight w:val="none"/>
        </w:rPr>
        <w:t xml:space="preserve">.</w:t>
      </w:r>
      <w:r>
        <w:rPr>
          <w:rFonts w:ascii="Times New Roman" w:hAnsi="Times New Roman" w:eastAsia="Times New Roman" w:cs="Times New Roman"/>
          <w:strike/>
          <w:color w:val="000000" w:themeColor="text1"/>
          <w:sz w:val="28"/>
          <w:highlight w:val="white"/>
        </w:rPr>
        <w:t xml:space="preserve"> </w:t>
      </w:r>
      <w:r/>
    </w:p>
    <w:p>
      <w:pPr>
        <w:ind w:left="0" w:right="0" w:firstLine="709"/>
        <w:jc w:val="both"/>
        <w:spacing w:before="0" w:after="0"/>
        <w:rPr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highlight w:val="white"/>
        </w:rPr>
        <w:t xml:space="preserve">Показатель удовлетворенности населения Усть-Коксинский  района среди муниципальных образований Республики Алтай находится на 7-м месте. </w:t>
      </w:r>
      <w:r>
        <w:rPr>
          <w:highlight w:val="white"/>
        </w:rPr>
      </w:r>
      <w:r/>
    </w:p>
    <w:p>
      <w:pPr>
        <w:ind w:left="0" w:right="0" w:firstLine="709"/>
        <w:jc w:val="both"/>
        <w:spacing w:before="0" w:after="0"/>
        <w:rPr>
          <w:color w:val="000000" w:themeColor="text1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 w:themeColor="text1"/>
          <w:sz w:val="28"/>
          <w:highlight w:val="white"/>
        </w:rPr>
        <w:t xml:space="preserve">Ниже республиканского значения уровень удовлетворенности населения:</w:t>
      </w:r>
      <w:r>
        <w:rPr>
          <w:color w:val="000000" w:themeColor="text1"/>
        </w:rPr>
      </w:r>
      <w:r/>
    </w:p>
    <w:p>
      <w:pPr>
        <w:ind w:left="0" w:right="0" w:firstLine="709"/>
        <w:jc w:val="both"/>
        <w:spacing w:before="0" w:after="0"/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highlight w:val="white"/>
        </w:rPr>
        <w:t xml:space="preserve">- деятельность глав органов местного самоуправления муниципального района – 67,67% (</w:t>
      </w:r>
      <w:r>
        <w:rPr>
          <w:rFonts w:ascii="Times New Roman" w:hAnsi="Times New Roman" w:eastAsia="Times New Roman" w:cs="Times New Roman"/>
          <w:color w:val="000000"/>
          <w:sz w:val="28"/>
          <w:highlight w:val="white"/>
        </w:rPr>
        <w:t xml:space="preserve">11 место)</w:t>
      </w:r>
      <w:r>
        <w:rPr>
          <w:rFonts w:ascii="Times New Roman" w:hAnsi="Times New Roman" w:eastAsia="Times New Roman" w:cs="Times New Roman"/>
          <w:color w:val="000000"/>
          <w:sz w:val="28"/>
          <w:highlight w:val="white"/>
        </w:rPr>
        <w:t xml:space="preserve">, республиканский уровень –82,74% ;</w:t>
      </w:r>
      <w:r>
        <w:rPr>
          <w:highlight w:val="white"/>
        </w:rPr>
      </w:r>
      <w:r/>
    </w:p>
    <w:p>
      <w:pPr>
        <w:pStyle w:val="714"/>
        <w:numPr>
          <w:ilvl w:val="0"/>
          <w:numId w:val="12"/>
        </w:numPr>
        <w:ind w:left="0" w:right="0" w:firstLine="709"/>
        <w:jc w:val="both"/>
        <w:spacing w:before="0" w:after="0"/>
        <w:rPr>
          <w:rFonts w:ascii="Times New Roman" w:hAnsi="Times New Roman" w:eastAsia="Times New Roman" w:cs="Times New Roman"/>
          <w:sz w:val="20"/>
          <w:szCs w:val="20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highlight w:val="none"/>
        </w:rPr>
        <w:t xml:space="preserve">деятельность администрации муниципального района - 70,42% (8 место), </w:t>
      </w:r>
      <w:r>
        <w:rPr>
          <w:rFonts w:ascii="Times New Roman" w:hAnsi="Times New Roman" w:eastAsia="Times New Roman" w:cs="Times New Roman"/>
          <w:color w:val="000000"/>
          <w:sz w:val="28"/>
          <w:highlight w:val="white"/>
        </w:rPr>
        <w:t xml:space="preserve">республиканский уровень –80,31%; </w:t>
      </w:r>
      <w:r>
        <w:rPr>
          <w:rFonts w:ascii="Times New Roman" w:hAnsi="Times New Roman" w:eastAsia="Times New Roman" w:cs="Times New Roman"/>
          <w:color w:val="000000"/>
          <w:sz w:val="28"/>
          <w:highlight w:val="none"/>
        </w:rPr>
      </w:r>
      <w:r/>
    </w:p>
    <w:p>
      <w:pPr>
        <w:pStyle w:val="714"/>
        <w:numPr>
          <w:ilvl w:val="0"/>
          <w:numId w:val="12"/>
        </w:numPr>
        <w:ind w:left="0" w:right="0" w:firstLine="709"/>
        <w:jc w:val="both"/>
        <w:spacing w:before="0" w:after="0"/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highlight w:val="white"/>
        </w:rPr>
        <w:t xml:space="preserve">деятельность представительного органа (совета депутатов) сельских поселений – 59,66% (10 место), республиканский уровень – 76,87%;</w:t>
      </w:r>
      <w:r>
        <w:rPr>
          <w:highlight w:val="white"/>
        </w:rPr>
      </w:r>
      <w:r/>
    </w:p>
    <w:p>
      <w:pPr>
        <w:pStyle w:val="714"/>
        <w:numPr>
          <w:ilvl w:val="0"/>
          <w:numId w:val="12"/>
        </w:numPr>
        <w:ind w:left="0" w:right="0" w:firstLine="709"/>
        <w:jc w:val="both"/>
        <w:spacing w:before="0" w:after="0"/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highlight w:val="none"/>
        </w:rPr>
        <w:t xml:space="preserve">деятельность глав органов местного самоуправления сельских поселений- 74,17% (8 место),</w:t>
      </w:r>
      <w:r>
        <w:rPr>
          <w:rFonts w:ascii="Times New Roman" w:hAnsi="Times New Roman" w:eastAsia="Times New Roman" w:cs="Times New Roman"/>
          <w:color w:val="000000"/>
          <w:sz w:val="28"/>
          <w:highlight w:val="none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highlight w:val="white"/>
        </w:rPr>
        <w:t xml:space="preserve">республиканский уровень –81,07%;</w:t>
      </w:r>
      <w:r>
        <w:rPr>
          <w:rFonts w:ascii="Times New Roman" w:hAnsi="Times New Roman" w:eastAsia="Times New Roman" w:cs="Times New Roman"/>
          <w:color w:val="000000"/>
          <w:sz w:val="28"/>
          <w:highlight w:val="none"/>
        </w:rPr>
      </w:r>
      <w:r/>
    </w:p>
    <w:p>
      <w:pPr>
        <w:pStyle w:val="714"/>
        <w:numPr>
          <w:ilvl w:val="0"/>
          <w:numId w:val="12"/>
        </w:numPr>
        <w:ind w:left="0" w:right="0" w:firstLine="709"/>
        <w:jc w:val="both"/>
        <w:spacing w:before="0" w:after="0"/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highlight w:val="none"/>
        </w:rPr>
        <w:t xml:space="preserve">деятельность администрации сельских поселений- 79,5% (7 место); </w:t>
      </w:r>
      <w:r>
        <w:rPr>
          <w:rFonts w:ascii="Times New Roman" w:hAnsi="Times New Roman" w:eastAsia="Times New Roman" w:cs="Times New Roman"/>
          <w:color w:val="000000"/>
          <w:sz w:val="28"/>
          <w:highlight w:val="white"/>
        </w:rPr>
        <w:t xml:space="preserve">республиканский уровень –81,07%; </w:t>
      </w:r>
      <w:r>
        <w:rPr>
          <w:rFonts w:ascii="Times New Roman" w:hAnsi="Times New Roman" w:eastAsia="Times New Roman" w:cs="Times New Roman"/>
          <w:color w:val="000000"/>
          <w:sz w:val="28"/>
          <w:highlight w:val="white"/>
        </w:rPr>
        <w:t xml:space="preserve">республиканский уровень –83,28%;</w:t>
      </w:r>
      <w:r>
        <w:rPr>
          <w:rFonts w:ascii="Times New Roman" w:hAnsi="Times New Roman" w:eastAsia="Times New Roman" w:cs="Times New Roman"/>
          <w:color w:val="000000"/>
          <w:sz w:val="28"/>
          <w:highlight w:val="none"/>
        </w:rPr>
      </w:r>
      <w:r/>
    </w:p>
    <w:p>
      <w:pPr>
        <w:pStyle w:val="714"/>
        <w:numPr>
          <w:ilvl w:val="0"/>
          <w:numId w:val="12"/>
        </w:numPr>
        <w:ind w:left="0" w:right="0" w:firstLine="709"/>
        <w:jc w:val="both"/>
        <w:spacing w:before="0" w:after="0"/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highlight w:val="none"/>
        </w:rPr>
        <w:t xml:space="preserve">деятельность представительного органа сельских поселений- 72,69% (8 место), </w:t>
      </w:r>
      <w:r>
        <w:rPr>
          <w:rFonts w:ascii="Times New Roman" w:hAnsi="Times New Roman" w:eastAsia="Times New Roman" w:cs="Times New Roman"/>
          <w:color w:val="000000"/>
          <w:sz w:val="28"/>
          <w:highlight w:val="white"/>
        </w:rPr>
        <w:t xml:space="preserve">республиканский уровень –80,31%</w:t>
      </w:r>
      <w:r>
        <w:rPr>
          <w:rFonts w:ascii="Times New Roman" w:hAnsi="Times New Roman" w:eastAsia="Times New Roman" w:cs="Times New Roman"/>
          <w:color w:val="000000"/>
          <w:sz w:val="28"/>
          <w:highlight w:val="none"/>
        </w:rPr>
        <w:t xml:space="preserve">,;</w:t>
      </w:r>
      <w:r>
        <w:rPr>
          <w:rFonts w:ascii="Times New Roman" w:hAnsi="Times New Roman" w:eastAsia="Times New Roman" w:cs="Times New Roman"/>
          <w:color w:val="000000"/>
          <w:sz w:val="28"/>
          <w:highlight w:val="none"/>
        </w:rPr>
      </w:r>
      <w:r/>
    </w:p>
    <w:p>
      <w:pPr>
        <w:pStyle w:val="714"/>
        <w:numPr>
          <w:ilvl w:val="0"/>
          <w:numId w:val="12"/>
        </w:numPr>
        <w:ind w:left="0" w:right="0" w:firstLine="709"/>
        <w:jc w:val="both"/>
        <w:spacing w:before="0" w:after="0"/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highlight w:val="none"/>
        </w:rPr>
        <w:t xml:space="preserve">организация транспортного обслуживания- 63,18%, (7 место), </w:t>
      </w:r>
      <w:r>
        <w:rPr>
          <w:rFonts w:ascii="Times New Roman" w:hAnsi="Times New Roman" w:eastAsia="Times New Roman" w:cs="Times New Roman"/>
          <w:color w:val="000000"/>
          <w:sz w:val="28"/>
          <w:highlight w:val="white"/>
        </w:rPr>
        <w:t xml:space="preserve">республиканский уровень –65,51%;</w:t>
      </w:r>
      <w:r>
        <w:rPr>
          <w:rFonts w:ascii="Times New Roman" w:hAnsi="Times New Roman" w:eastAsia="Times New Roman" w:cs="Times New Roman"/>
          <w:color w:val="000000"/>
          <w:sz w:val="28"/>
          <w:highlight w:val="none"/>
        </w:rPr>
      </w:r>
      <w:r/>
    </w:p>
    <w:p>
      <w:pPr>
        <w:ind w:left="0" w:right="0" w:firstLine="709"/>
        <w:jc w:val="both"/>
        <w:spacing w:before="0" w:after="0"/>
        <w:rPr>
          <w:rFonts w:ascii="Times New Roman" w:hAnsi="Times New Roman" w:eastAsia="Times New Roman" w:cs="Times New Roman"/>
          <w:sz w:val="20"/>
          <w:szCs w:val="20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8"/>
          <w:highlight w:val="none"/>
        </w:rPr>
      </w:r>
      <w:r/>
    </w:p>
    <w:p>
      <w:pPr>
        <w:ind w:left="0" w:right="0" w:firstLine="709"/>
        <w:jc w:val="both"/>
        <w:spacing w:before="0" w:after="0"/>
        <w:rPr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highlight w:val="white"/>
        </w:rPr>
        <w:t xml:space="preserve">- качество автомобильных дорог – 40,34% (8 место), республиканский уровень –59,58%;</w:t>
      </w:r>
      <w:r>
        <w:rPr>
          <w:highlight w:val="white"/>
        </w:rPr>
      </w:r>
      <w:r/>
    </w:p>
    <w:p>
      <w:pPr>
        <w:ind w:left="0" w:right="0" w:firstLine="709"/>
        <w:jc w:val="both"/>
        <w:spacing w:before="0" w:after="0"/>
        <w:rPr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highlight w:val="white"/>
        </w:rPr>
        <w:t xml:space="preserve">- организация газоснабжения – 54,17% (10 место), республиканский уровень –77,88%;</w:t>
      </w:r>
      <w:r>
        <w:rPr>
          <w:rFonts w:ascii="Times New Roman" w:hAnsi="Times New Roman" w:eastAsia="Times New Roman" w:cs="Times New Roman"/>
          <w:sz w:val="20"/>
          <w:highlight w:val="white"/>
        </w:rPr>
      </w:r>
      <w:r/>
    </w:p>
    <w:p>
      <w:pPr>
        <w:ind w:left="0" w:right="0" w:firstLine="709"/>
        <w:jc w:val="both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highlight w:val="white"/>
        </w:rPr>
        <w:t xml:space="preserve">- организация теплоснабжения – 70,82% (9 место), республиканский уровень –85,15%;</w:t>
      </w:r>
      <w:r>
        <w:rPr>
          <w:rFonts w:ascii="Times New Roman" w:hAnsi="Times New Roman" w:eastAsia="Times New Roman" w:cs="Times New Roman"/>
          <w:sz w:val="20"/>
          <w:highlight w:val="white"/>
        </w:rPr>
      </w:r>
      <w:r/>
    </w:p>
    <w:p>
      <w:pPr>
        <w:pStyle w:val="874"/>
        <w:ind w:firstLine="567"/>
        <w:jc w:val="both"/>
        <w:rPr>
          <w:rFonts w:ascii="Times New Roman" w:hAnsi="Times New Roman" w:eastAsia="Times New Roman" w:cs="Times New Roman"/>
          <w:sz w:val="20"/>
          <w:szCs w:val="20"/>
          <w:highlight w:val="white"/>
        </w:rPr>
      </w:pPr>
      <w:r>
        <w:rPr>
          <w:spacing w:val="-2"/>
          <w:sz w:val="26"/>
          <w:szCs w:val="26"/>
        </w:rPr>
      </w:r>
      <w:r>
        <w:rPr>
          <w:spacing w:val="-2"/>
          <w:sz w:val="26"/>
          <w:szCs w:val="26"/>
        </w:rPr>
      </w:r>
      <w:r/>
    </w:p>
    <w:p>
      <w:pPr>
        <w:ind w:left="0" w:right="0" w:firstLine="709"/>
        <w:jc w:val="both"/>
        <w:spacing w:before="0" w:after="0"/>
        <w:rPr>
          <w:rFonts w:ascii="Times New Roman" w:hAnsi="Times New Roman" w:eastAsia="Times New Roman" w:cs="Times New Roman"/>
          <w:sz w:val="20"/>
          <w:szCs w:val="20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highlight w:val="white"/>
        </w:rPr>
        <w:t xml:space="preserve">- организация водоснабжения – 76,52% (5 место), республиканский уровень –82,3%;</w:t>
      </w:r>
      <w:r>
        <w:rPr>
          <w:rFonts w:ascii="Times New Roman" w:hAnsi="Times New Roman" w:eastAsia="Times New Roman" w:cs="Times New Roman"/>
          <w:sz w:val="20"/>
          <w:highlight w:val="white"/>
        </w:rPr>
      </w:r>
      <w:r/>
    </w:p>
    <w:p>
      <w:pPr>
        <w:ind w:left="0" w:right="0" w:firstLine="709"/>
        <w:jc w:val="both"/>
        <w:spacing w:before="0" w:after="0"/>
        <w:rPr>
          <w:rFonts w:ascii="Times New Roman" w:hAnsi="Times New Roman" w:eastAsia="Times New Roman" w:cs="Times New Roman"/>
          <w:sz w:val="20"/>
          <w:szCs w:val="20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sz w:val="20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8"/>
          <w:highlight w:val="white"/>
        </w:rPr>
        <w:t xml:space="preserve">- организация электроснабжения – 76,39% (6 место), республиканский уровень –78,26%</w:t>
      </w:r>
      <w:r>
        <w:rPr>
          <w:rFonts w:ascii="Times New Roman" w:hAnsi="Times New Roman" w:eastAsia="Times New Roman" w:cs="Times New Roman"/>
          <w:color w:val="000000"/>
          <w:sz w:val="28"/>
          <w:highlight w:val="none"/>
        </w:rPr>
        <w:t xml:space="preserve">.</w:t>
      </w:r>
      <w:r>
        <w:rPr>
          <w:rFonts w:ascii="Times New Roman" w:hAnsi="Times New Roman" w:eastAsia="Times New Roman" w:cs="Times New Roman"/>
          <w:sz w:val="20"/>
          <w:szCs w:val="20"/>
          <w:highlight w:val="white"/>
        </w:rPr>
      </w:r>
      <w:r/>
    </w:p>
    <w:p>
      <w:pPr>
        <w:ind w:left="0" w:right="0" w:firstLine="709"/>
        <w:jc w:val="both"/>
        <w:spacing w:before="0" w:after="0"/>
        <w:rPr>
          <w:rFonts w:ascii="Times New Roman" w:hAnsi="Times New Roman" w:eastAsia="Times New Roman" w:cs="Times New Roman"/>
          <w:sz w:val="20"/>
          <w:szCs w:val="20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highlight w:val="none"/>
        </w:rPr>
      </w:r>
      <w:r>
        <w:rPr>
          <w:highlight w:val="none"/>
        </w:rPr>
      </w:r>
      <w:r/>
    </w:p>
    <w:p>
      <w:pPr>
        <w:pStyle w:val="874"/>
        <w:ind w:firstLine="567"/>
        <w:jc w:val="both"/>
        <w:rPr>
          <w:spacing w:val="-2"/>
          <w:sz w:val="26"/>
          <w:szCs w:val="26"/>
        </w:rPr>
      </w:pPr>
      <w:r>
        <w:rPr>
          <w:spacing w:val="-2"/>
          <w:sz w:val="26"/>
          <w:szCs w:val="26"/>
        </w:rPr>
      </w:r>
      <w:r/>
    </w:p>
    <w:p>
      <w:pPr>
        <w:pStyle w:val="874"/>
        <w:ind w:firstLine="567"/>
        <w:jc w:val="both"/>
        <w:rPr>
          <w:b/>
          <w:spacing w:val="-2"/>
          <w:sz w:val="26"/>
          <w:szCs w:val="26"/>
        </w:rPr>
      </w:pPr>
      <w:r>
        <w:rPr>
          <w:b/>
          <w:spacing w:val="-2"/>
          <w:sz w:val="26"/>
          <w:szCs w:val="26"/>
        </w:rPr>
        <w:t xml:space="preserve">П. 38. Среднегодовая численность постоянного населения</w:t>
      </w:r>
      <w:r>
        <w:rPr>
          <w:b/>
          <w:spacing w:val="-2"/>
          <w:sz w:val="26"/>
          <w:szCs w:val="26"/>
        </w:rPr>
      </w:r>
      <w:r/>
    </w:p>
    <w:p>
      <w:pPr>
        <w:pStyle w:val="874"/>
        <w:ind w:firstLine="567"/>
        <w:jc w:val="both"/>
        <w:rPr>
          <w:highlight w:val="none"/>
        </w:rPr>
      </w:pPr>
      <w:r>
        <w:rPr>
          <w:i/>
          <w:spacing w:val="-2"/>
          <w:sz w:val="24"/>
          <w:szCs w:val="26"/>
          <w:highlight w:val="white"/>
        </w:rPr>
        <w:t xml:space="preserve">Указывается среднегодовая численность населения, и демографические показатели.</w:t>
      </w:r>
      <w:r>
        <w:rPr>
          <w:highlight w:val="white"/>
        </w:rPr>
      </w:r>
      <w:r/>
    </w:p>
    <w:p>
      <w:pPr>
        <w:ind w:firstLine="567"/>
        <w:jc w:val="both"/>
        <w:rPr>
          <w:bCs/>
          <w:i/>
          <w:spacing w:val="-2"/>
          <w:sz w:val="24"/>
          <w:szCs w:val="24"/>
          <w:highlight w:val="white"/>
        </w:rPr>
      </w:pPr>
      <w:r>
        <w:rPr>
          <w:highlight w:val="none"/>
        </w:rPr>
      </w:r>
      <w:r>
        <w:rPr>
          <w:highlight w:val="none"/>
        </w:rPr>
      </w:r>
      <w:r/>
    </w:p>
    <w:p>
      <w:pPr>
        <w:ind w:left="0" w:right="0" w:firstLine="567"/>
        <w:jc w:val="both"/>
        <w:spacing w:before="0" w:after="0"/>
        <w:rPr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highlight w:val="white"/>
        </w:rPr>
        <w:t xml:space="preserve">Среднегодовая численность постоянного населения за 2022 г. составила 15 721 чел., что </w:t>
      </w:r>
      <w:r>
        <w:rPr>
          <w:rFonts w:ascii="Times New Roman" w:hAnsi="Times New Roman" w:eastAsia="Times New Roman" w:cs="Times New Roman"/>
          <w:color w:val="000000"/>
          <w:sz w:val="28"/>
          <w:highlight w:val="white"/>
        </w:rPr>
        <w:t xml:space="preserve">на 207 чел. или  1,3 % меньше, чем в 2021 г. (15928 чел.). Снижение численности постоянного населения произошло из-за миграции населения.</w:t>
      </w:r>
      <w:r>
        <w:rPr>
          <w:rFonts w:ascii="Times New Roman" w:hAnsi="Times New Roman" w:eastAsia="Times New Roman" w:cs="Times New Roman"/>
          <w:color w:val="000000"/>
          <w:sz w:val="28"/>
          <w:highlight w:val="white"/>
        </w:rPr>
        <w:t xml:space="preserve"> В 2022 г. прибы</w:t>
      </w:r>
      <w:r>
        <w:rPr>
          <w:rFonts w:ascii="Times New Roman" w:hAnsi="Times New Roman" w:eastAsia="Times New Roman" w:cs="Times New Roman"/>
          <w:color w:val="000000"/>
          <w:sz w:val="28"/>
          <w:highlight w:val="white"/>
        </w:rPr>
        <w:t xml:space="preserve">л</w:t>
      </w:r>
      <w:r>
        <w:rPr>
          <w:rFonts w:ascii="Times New Roman" w:hAnsi="Times New Roman" w:eastAsia="Times New Roman" w:cs="Times New Roman"/>
          <w:color w:val="000000"/>
          <w:sz w:val="28"/>
          <w:highlight w:val="white"/>
        </w:rPr>
        <w:t xml:space="preserve">о 581 чел. (в 2</w:t>
      </w:r>
      <w:r>
        <w:rPr>
          <w:rFonts w:ascii="Times New Roman" w:hAnsi="Times New Roman" w:eastAsia="Times New Roman" w:cs="Times New Roman"/>
          <w:color w:val="000000"/>
          <w:sz w:val="28"/>
          <w:highlight w:val="white"/>
        </w:rPr>
        <w:t xml:space="preserve">021 г. - 548 чел.), выбыло 632 чел. (в 2021 г. - 598 чел.), таким образом миграционная убыль в 2022 г. составила (-) 51 чел., (в 2021 г. – (-) 50 чел.). Одной из основных причин миграционного оттока является безработица и низкий уровень оплаты труда. </w:t>
      </w:r>
      <w:r>
        <w:rPr>
          <w:highlight w:val="white"/>
        </w:rPr>
      </w:r>
      <w:r/>
    </w:p>
    <w:p>
      <w:pPr>
        <w:ind w:firstLine="567"/>
        <w:jc w:val="both"/>
        <w:rPr>
          <w:bCs/>
          <w:i/>
          <w:spacing w:val="-2"/>
          <w:sz w:val="24"/>
          <w:szCs w:val="24"/>
          <w:highlight w:val="white"/>
        </w:rPr>
      </w:pPr>
      <w:r>
        <w:rPr>
          <w:rFonts w:ascii="Times New Roman" w:hAnsi="Times New Roman" w:eastAsia="Times New Roman" w:cs="Times New Roman"/>
          <w:color w:val="000000"/>
          <w:sz w:val="28"/>
          <w:highlight w:val="white"/>
        </w:rPr>
        <w:t xml:space="preserve">В 2022 г. родилось 196 детей, что на 8 чел.  или  3,9 % меньше, чем в 2021 г. (204 детей), умерло в 2022 г.  206 чел., что</w:t>
      </w:r>
      <w:r>
        <w:rPr>
          <w:rFonts w:ascii="Times New Roman" w:hAnsi="Times New Roman" w:eastAsia="Times New Roman" w:cs="Times New Roman"/>
          <w:color w:val="000000"/>
          <w:sz w:val="28"/>
          <w:highlight w:val="white"/>
        </w:rPr>
        <w:t xml:space="preserve"> на 56 чел. или 21,4 % меньше, чем в 2021 г. (262 чел.). Естественная убыль в 2022 г. составила (-) 0,6 чел. на 1000 населения (в 2021 г.</w:t>
      </w:r>
      <w:r>
        <w:rPr>
          <w:rFonts w:ascii="Times New Roman" w:hAnsi="Times New Roman" w:eastAsia="Times New Roman" w:cs="Times New Roman"/>
          <w:color w:val="000000"/>
          <w:sz w:val="28"/>
          <w:highlight w:val="white"/>
        </w:rPr>
        <w:t xml:space="preserve"> убыль составила (-) 3,6 чел. на 1000 населения</w:t>
      </w:r>
      <w:r>
        <w:rPr>
          <w:i/>
          <w:spacing w:val="-2"/>
          <w:sz w:val="24"/>
          <w:szCs w:val="26"/>
          <w:highlight w:val="white"/>
        </w:rPr>
        <w:t xml:space="preserve">.</w:t>
      </w:r>
      <w:r>
        <w:rPr>
          <w:i/>
          <w:spacing w:val="-2"/>
          <w:sz w:val="24"/>
          <w:szCs w:val="26"/>
          <w:highlight w:val="white"/>
        </w:rPr>
      </w:r>
      <w:r/>
    </w:p>
    <w:p>
      <w:pPr>
        <w:pStyle w:val="874"/>
        <w:ind w:firstLine="567"/>
        <w:jc w:val="both"/>
        <w:rPr>
          <w:spacing w:val="-2"/>
          <w:sz w:val="24"/>
          <w:szCs w:val="26"/>
          <w:highlight w:val="white"/>
        </w:rPr>
      </w:pPr>
      <w:r>
        <w:rPr>
          <w:spacing w:val="-2"/>
          <w:sz w:val="24"/>
          <w:szCs w:val="26"/>
          <w:highlight w:val="white"/>
        </w:rPr>
      </w:r>
      <w:r>
        <w:rPr>
          <w:highlight w:val="white"/>
        </w:rPr>
      </w:r>
      <w:r/>
    </w:p>
    <w:p>
      <w:pPr>
        <w:pStyle w:val="899"/>
        <w:ind w:left="0" w:firstLine="567"/>
        <w:jc w:val="both"/>
        <w:spacing w:after="0" w:line="240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  <w:lang w:val="en-US"/>
        </w:rPr>
        <w:t xml:space="preserve">IX</w:t>
      </w:r>
      <w:r>
        <w:rPr>
          <w:rFonts w:ascii="Times New Roman" w:hAnsi="Times New Roman"/>
          <w:b/>
          <w:sz w:val="26"/>
          <w:szCs w:val="26"/>
        </w:rPr>
        <w:t xml:space="preserve">. Энергосбережение и повышение энергетической эффективности</w:t>
      </w:r>
      <w:r>
        <w:rPr>
          <w:rFonts w:ascii="Times New Roman" w:hAnsi="Times New Roman"/>
          <w:b/>
          <w:sz w:val="26"/>
          <w:szCs w:val="26"/>
        </w:rPr>
      </w:r>
      <w:r/>
    </w:p>
    <w:p>
      <w:pPr>
        <w:pStyle w:val="899"/>
        <w:ind w:left="0" w:firstLine="567"/>
        <w:jc w:val="both"/>
        <w:spacing w:after="0" w:line="240" w:lineRule="auto"/>
        <w:rPr>
          <w:rFonts w:ascii="Times New Roman" w:hAnsi="Times New Roman"/>
          <w:color w:val="333333"/>
          <w:sz w:val="26"/>
          <w:szCs w:val="26"/>
        </w:rPr>
      </w:pPr>
      <w:r>
        <w:rPr>
          <w:rFonts w:ascii="Times New Roman" w:hAnsi="Times New Roman"/>
          <w:color w:val="333333"/>
          <w:sz w:val="26"/>
          <w:szCs w:val="26"/>
        </w:rPr>
      </w:r>
      <w:r/>
    </w:p>
    <w:p>
      <w:pPr>
        <w:pStyle w:val="899"/>
        <w:ind w:left="0" w:firstLine="567"/>
        <w:jc w:val="both"/>
        <w:spacing w:after="0" w:line="240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П. 39 Удельная величина потребления энергетических ресурсов </w:t>
      </w:r>
      <w:r>
        <w:rPr>
          <w:rFonts w:ascii="Times New Roman" w:hAnsi="Times New Roman"/>
          <w:b/>
          <w:sz w:val="26"/>
          <w:szCs w:val="26"/>
        </w:rPr>
        <w:t xml:space="preserve">(электрическая и тепловая энергия, вода, природный газ) </w:t>
      </w:r>
      <w:r>
        <w:rPr>
          <w:rFonts w:ascii="Times New Roman" w:hAnsi="Times New Roman"/>
          <w:b/>
          <w:sz w:val="26"/>
          <w:szCs w:val="26"/>
        </w:rPr>
        <w:t xml:space="preserve">в многоквартирных домах</w:t>
      </w:r>
      <w:r>
        <w:rPr>
          <w:rFonts w:ascii="Times New Roman" w:hAnsi="Times New Roman"/>
          <w:b/>
          <w:sz w:val="26"/>
          <w:szCs w:val="26"/>
        </w:rPr>
        <w:t xml:space="preserve"> (из расчета на 1 кв. метр общей </w:t>
      </w:r>
      <w:r>
        <w:rPr>
          <w:rFonts w:ascii="Times New Roman" w:hAnsi="Times New Roman"/>
          <w:b/>
          <w:sz w:val="26"/>
          <w:szCs w:val="26"/>
        </w:rPr>
        <w:t xml:space="preserve">площади и (или) на одного человека)</w:t>
      </w:r>
      <w:r>
        <w:rPr>
          <w:rFonts w:ascii="Times New Roman" w:hAnsi="Times New Roman"/>
          <w:b/>
          <w:sz w:val="26"/>
          <w:szCs w:val="26"/>
        </w:rPr>
        <w:t xml:space="preserve">.</w:t>
      </w:r>
      <w:r>
        <w:rPr>
          <w:rFonts w:ascii="Times New Roman" w:hAnsi="Times New Roman"/>
          <w:b/>
          <w:sz w:val="26"/>
          <w:szCs w:val="26"/>
        </w:rPr>
      </w:r>
      <w:r/>
    </w:p>
    <w:p>
      <w:pPr>
        <w:ind w:left="0" w:right="0" w:firstLine="709"/>
        <w:jc w:val="both"/>
        <w:spacing w:before="240" w:after="240" w:line="65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В 2022 г. удельная величина потребления энергетических ресурсов в многоквартирных домах составила:</w:t>
      </w:r>
      <w:r/>
    </w:p>
    <w:p>
      <w:pPr>
        <w:ind w:left="0" w:right="0" w:firstLine="709"/>
        <w:jc w:val="both"/>
        <w:spacing w:before="240" w:after="240" w:line="65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электроэнергия: 732,632 кВт/ч на 1 проживающего, снижение в 2022 году на 32,884 кВт/ч в год. Планируется и дальнейшее снижение потребления электрической энергии, в связи с внедрением энергосберегающих технологий;</w:t>
      </w:r>
      <w:r/>
    </w:p>
    <w:p>
      <w:pPr>
        <w:ind w:left="0" w:right="0" w:firstLine="709"/>
        <w:jc w:val="both"/>
        <w:spacing w:before="240" w:after="240" w:line="65" w:lineRule="atLeast"/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тепловая энергия: 0,298Гкал на 1 м² общей площади, по сравнению с 2021 г. показатель уменьшился, что показывает эффективность работы систем теплоснабжения из-за внедрения энергосберегающих технологий;</w:t>
      </w:r>
      <w:r/>
    </w:p>
    <w:p>
      <w:pPr>
        <w:ind w:left="0" w:right="0" w:firstLine="709"/>
        <w:jc w:val="both"/>
        <w:spacing w:before="240" w:after="240" w:line="65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холодная вода: 15,623 м³ на 1 проживающего, по сравнению с 2021 годом снижение на 0,267 м³. Планируется и дальнейшее снижение потребления воды, в связи с внедрением энергосберегающих технологий. </w:t>
      </w:r>
      <w:r/>
    </w:p>
    <w:p>
      <w:pPr>
        <w:ind w:left="0" w:right="0" w:firstLine="709"/>
        <w:jc w:val="both"/>
        <w:spacing w:before="240" w:after="240" w:line="65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Горячей воды и газа нет. На планируемый период до 2023 года изменений не планируется, так как невозможно предоставление данных услуг.</w:t>
      </w:r>
      <w:r>
        <w:rPr>
          <w:rFonts w:ascii="Times New Roman" w:hAnsi="Times New Roman"/>
          <w:sz w:val="26"/>
          <w:szCs w:val="26"/>
        </w:rPr>
      </w:r>
      <w:r/>
    </w:p>
    <w:p>
      <w:pPr>
        <w:pStyle w:val="899"/>
        <w:ind w:left="0" w:firstLine="567"/>
        <w:jc w:val="both"/>
        <w:spacing w:after="0" w:line="240" w:lineRule="auto"/>
        <w:rPr>
          <w:rFonts w:ascii="Times New Roman" w:hAnsi="Times New Roman"/>
          <w:b/>
          <w:color w:val="333333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П</w:t>
      </w:r>
      <w:r>
        <w:rPr>
          <w:rFonts w:ascii="Times New Roman" w:hAnsi="Times New Roman"/>
          <w:b/>
          <w:sz w:val="26"/>
          <w:szCs w:val="26"/>
        </w:rPr>
        <w:t xml:space="preserve">. 40</w:t>
      </w:r>
      <w:r>
        <w:rPr>
          <w:rFonts w:ascii="Times New Roman" w:hAnsi="Times New Roman"/>
          <w:b/>
          <w:sz w:val="26"/>
          <w:szCs w:val="26"/>
        </w:rPr>
        <w:t xml:space="preserve"> Удельная величина потребления энергетических ресурсов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 xml:space="preserve">(электрическая и тепловая энергия, вода, природный газ)</w:t>
      </w:r>
      <w:r>
        <w:rPr>
          <w:rFonts w:ascii="Times New Roman" w:hAnsi="Times New Roman"/>
          <w:b/>
          <w:sz w:val="26"/>
          <w:szCs w:val="26"/>
        </w:rPr>
        <w:t xml:space="preserve"> муниципальными бюджетными учреждениями</w:t>
      </w:r>
      <w:r>
        <w:rPr>
          <w:rFonts w:ascii="Times New Roman" w:hAnsi="Times New Roman"/>
          <w:b/>
          <w:color w:val="333333"/>
          <w:sz w:val="26"/>
          <w:szCs w:val="26"/>
        </w:rPr>
      </w:r>
      <w:r/>
    </w:p>
    <w:p>
      <w:pPr>
        <w:pStyle w:val="899"/>
        <w:ind w:left="0" w:firstLine="567"/>
        <w:jc w:val="both"/>
        <w:spacing w:after="0"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</w:r>
      <w:r>
        <w:rPr>
          <w:rFonts w:ascii="Times New Roman" w:hAnsi="Times New Roman"/>
          <w:sz w:val="26"/>
          <w:szCs w:val="26"/>
        </w:rPr>
      </w:r>
      <w:r/>
    </w:p>
    <w:p>
      <w:pPr>
        <w:ind w:left="0" w:right="0" w:firstLine="709"/>
        <w:jc w:val="both"/>
        <w:spacing w:before="0" w:after="0" w:line="65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электроэнергия: произошло незначительное увеличение потребление энергетических ресурсов бюджетными учреждениями на 84,2 кВт/ч ч на 1 чел. Однако, планируется снижение потребления электрической энергии, в связи с внедрением энергосберегающих технологий;</w:t>
      </w:r>
      <w:r/>
    </w:p>
    <w:p>
      <w:pPr>
        <w:pStyle w:val="899"/>
        <w:ind w:left="0" w:firstLine="567"/>
        <w:jc w:val="both"/>
        <w:spacing w:after="0"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холодная вода: по сравнению с 2021 годом плановый показатель уменьшился,  в связи с внедрением энергосберегающих технологий.</w:t>
      </w:r>
      <w:r>
        <w:rPr>
          <w:rFonts w:ascii="Times New Roman" w:hAnsi="Times New Roman"/>
          <w:sz w:val="26"/>
          <w:szCs w:val="26"/>
        </w:rPr>
      </w:r>
      <w:r/>
    </w:p>
    <w:p>
      <w:pPr>
        <w:pStyle w:val="899"/>
        <w:ind w:left="0" w:firstLine="567"/>
        <w:jc w:val="both"/>
        <w:spacing w:after="0" w:line="240" w:lineRule="auto"/>
        <w:rPr>
          <w:rFonts w:ascii="Times New Roman" w:hAnsi="Times New Roman"/>
          <w:sz w:val="26"/>
          <w:szCs w:val="26"/>
          <w:highlight w:val="none"/>
        </w:rPr>
      </w:pPr>
      <w:r>
        <w:rPr>
          <w:rFonts w:ascii="Times New Roman" w:hAnsi="Times New Roman"/>
          <w:sz w:val="26"/>
          <w:szCs w:val="26"/>
        </w:rPr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тепловая энергия: 0,240 Гкал на 1 м² общей площади, по сравнению с 2021 г. показатель увеличился, в связи с тем, что приборы учета тепловой энергии были не исправны и показания выставлялись по нормативу. Однако, планируется снижение потребления электрическ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ой энергии, в связи с внедрением энергосберегающих технологий.</w:t>
      </w:r>
      <w:r>
        <w:rPr>
          <w:rFonts w:ascii="Times New Roman" w:hAnsi="Times New Roman"/>
          <w:sz w:val="26"/>
          <w:szCs w:val="26"/>
        </w:rPr>
      </w:r>
      <w:r/>
    </w:p>
    <w:p>
      <w:pPr>
        <w:ind w:left="0" w:right="0" w:firstLine="709"/>
        <w:jc w:val="both"/>
        <w:spacing w:before="0" w:after="0" w:line="65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Горячей воды и газа нет. На планируемый период до 2025 года изменений не планируется, так как невозможно предоставление данных услуг.</w:t>
      </w:r>
      <w:r/>
    </w:p>
    <w:p>
      <w:pPr>
        <w:pStyle w:val="899"/>
        <w:ind w:left="0" w:firstLine="567"/>
        <w:jc w:val="both"/>
        <w:spacing w:after="0"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</w:r>
      <w:r/>
    </w:p>
    <w:p>
      <w:pPr>
        <w:pStyle w:val="899"/>
        <w:ind w:left="0" w:firstLine="567"/>
        <w:jc w:val="both"/>
        <w:spacing w:after="0"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</w:r>
      <w:r/>
    </w:p>
    <w:p>
      <w:pPr>
        <w:pStyle w:val="899"/>
        <w:ind w:left="0" w:firstLine="567"/>
        <w:jc w:val="both"/>
        <w:spacing w:after="0" w:line="240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П.41 </w:t>
      </w:r>
      <w:r>
        <w:rPr>
          <w:rFonts w:ascii="Times New Roman" w:hAnsi="Times New Roman"/>
          <w:b/>
          <w:sz w:val="26"/>
          <w:szCs w:val="26"/>
        </w:rPr>
        <w:t xml:space="preserve">Результаты независимой оценки качества условий оказания услуг муниципальными организациями в сферах культуры, образования, социального обслуживания и иными организациями, расположенными на территориях соответствующих муниципальных образований и оказ</w:t>
      </w:r>
      <w:r>
        <w:rPr>
          <w:rFonts w:ascii="Times New Roman" w:hAnsi="Times New Roman"/>
          <w:b/>
          <w:sz w:val="26"/>
          <w:szCs w:val="26"/>
        </w:rPr>
        <w:t xml:space="preserve">ывающими услуги в указанных сферах за счет бюджетных ассигнований бюджетов муниципальных образований (по данным официального сайта для размещения информации о государственных и муниципальных учреждениях в информационно-телекоммуникационной сети «Интернет»)</w:t>
      </w:r>
      <w:r>
        <w:rPr>
          <w:rFonts w:ascii="Times New Roman" w:hAnsi="Times New Roman"/>
          <w:b/>
          <w:sz w:val="26"/>
          <w:szCs w:val="26"/>
        </w:rPr>
        <w:t xml:space="preserve"> (при наличии)</w:t>
      </w:r>
      <w:r>
        <w:rPr>
          <w:rFonts w:ascii="Times New Roman" w:hAnsi="Times New Roman"/>
          <w:b/>
          <w:sz w:val="26"/>
          <w:szCs w:val="26"/>
        </w:rPr>
      </w:r>
      <w:r/>
    </w:p>
    <w:p>
      <w:pPr>
        <w:pStyle w:val="899"/>
        <w:ind w:left="0" w:firstLine="567"/>
        <w:jc w:val="both"/>
        <w:spacing w:after="0" w:line="240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</w:r>
      <w:r/>
    </w:p>
    <w:p>
      <w:pPr>
        <w:pStyle w:val="899"/>
        <w:ind w:left="0" w:firstLine="567"/>
        <w:jc w:val="both"/>
        <w:spacing w:after="0" w:line="240" w:lineRule="auto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 xml:space="preserve">в сфере образования</w:t>
      </w:r>
      <w:r>
        <w:rPr>
          <w:rFonts w:ascii="Times New Roman" w:hAnsi="Times New Roman"/>
          <w:i/>
          <w:sz w:val="26"/>
          <w:szCs w:val="26"/>
        </w:rPr>
      </w:r>
      <w:r/>
    </w:p>
    <w:p>
      <w:pPr>
        <w:pStyle w:val="899"/>
        <w:ind w:left="0" w:firstLine="567"/>
        <w:jc w:val="both"/>
        <w:spacing w:after="0" w:line="240" w:lineRule="auto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</w:r>
      <w:r/>
    </w:p>
    <w:p>
      <w:pPr>
        <w:ind w:left="0" w:right="0" w:firstLine="0"/>
        <w:jc w:val="both"/>
        <w:keepLines/>
        <w:spacing w:before="0" w:after="160"/>
        <w:rPr>
          <w:rFonts w:ascii="Times New Roman" w:hAnsi="Times New Roman" w:cs="Times New Roman"/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Calibri" w:cs="Times New Roman"/>
          <w:color w:val="000000"/>
          <w:sz w:val="26"/>
          <w:szCs w:val="26"/>
        </w:rPr>
        <w:t xml:space="preserve">  </w:t>
      </w:r>
      <w:r>
        <w:rPr>
          <w:rFonts w:ascii="Times New Roman" w:hAnsi="Times New Roman" w:eastAsia="Calibri" w:cs="Times New Roman"/>
          <w:color w:val="000000"/>
          <w:sz w:val="26"/>
          <w:szCs w:val="26"/>
        </w:rPr>
        <w:t xml:space="preserve">В 2022 году независимая оценка качества условий осуществления образовательной деятельности организациями, осуществляющими образовательную деятельность, проведена в отношении 7 общеобразовательных организаций муниципального образования "Усть-Коксинский райо</w:t>
      </w:r>
      <w:r>
        <w:rPr>
          <w:rFonts w:ascii="Times New Roman" w:hAnsi="Times New Roman" w:eastAsia="Calibri" w:cs="Times New Roman"/>
          <w:color w:val="000000"/>
          <w:sz w:val="26"/>
          <w:szCs w:val="26"/>
        </w:rPr>
        <w:t xml:space="preserve">н", являющихся юридическими лицами и их структурных подразделений (9 детских садов). Охват независимой оценкой качества муниципальных образовательных организаций в 2022 году составил 35 % от общего числа образовательных организаций МО "Усть-Коксинский райо</w:t>
      </w:r>
      <w:r>
        <w:rPr>
          <w:rFonts w:ascii="Times New Roman" w:hAnsi="Times New Roman" w:eastAsia="Calibri" w:cs="Times New Roman"/>
          <w:color w:val="000000"/>
          <w:sz w:val="26"/>
          <w:szCs w:val="26"/>
        </w:rPr>
        <w:t xml:space="preserve">н".</w:t>
      </w:r>
      <w:r>
        <w:rPr>
          <w:rFonts w:ascii="Times New Roman" w:hAnsi="Times New Roman" w:cs="Times New Roman"/>
          <w:sz w:val="26"/>
          <w:szCs w:val="26"/>
        </w:rPr>
      </w:r>
      <w:r/>
    </w:p>
    <w:p>
      <w:pPr>
        <w:ind w:left="0" w:right="0" w:firstLine="0"/>
        <w:jc w:val="both"/>
        <w:keepLines/>
        <w:spacing w:before="0" w:after="160"/>
        <w:rPr>
          <w:rFonts w:ascii="Times New Roman" w:hAnsi="Times New Roman" w:cs="Times New Roman"/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Calibri" w:cs="Times New Roman"/>
          <w:color w:val="000000"/>
          <w:sz w:val="26"/>
          <w:szCs w:val="26"/>
        </w:rPr>
        <w:t xml:space="preserve"> </w:t>
      </w:r>
      <w:r>
        <w:rPr>
          <w:rFonts w:ascii="Times New Roman" w:hAnsi="Times New Roman" w:eastAsia="Calibri" w:cs="Times New Roman"/>
          <w:color w:val="000000"/>
          <w:sz w:val="26"/>
          <w:szCs w:val="26"/>
        </w:rPr>
        <w:t xml:space="preserve">Общий уровень удовлетворенности условиями осуществления образовательной деятельности по совокупности образовательных организаций в МО "Усть-Коксинский район" составил 84,8 балла.</w:t>
      </w:r>
      <w:r>
        <w:rPr>
          <w:rFonts w:ascii="Times New Roman" w:hAnsi="Times New Roman" w:cs="Times New Roman"/>
          <w:sz w:val="26"/>
          <w:szCs w:val="26"/>
        </w:rPr>
      </w:r>
      <w:r/>
    </w:p>
    <w:tbl>
      <w:tblPr>
        <w:tblStyle w:val="730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4501"/>
        <w:gridCol w:w="3969"/>
      </w:tblGrid>
      <w:tr>
        <w:trPr/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4501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keepLines/>
              <w:spacing w:before="0" w:after="160"/>
              <w:rPr>
                <w:rFonts w:ascii="Times New Roman" w:hAnsi="Times New Roman" w:cs="Times New Roman"/>
                <w:sz w:val="26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Calibri" w:cs="Times New Roman"/>
                <w:color w:val="000000"/>
                <w:sz w:val="26"/>
                <w:szCs w:val="26"/>
              </w:rPr>
              <w:t xml:space="preserve">Наименование ОО</w:t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  <w:r/>
          </w:p>
        </w:tc>
        <w:tc>
          <w:tcPr>
            <w:tcBorders>
              <w:top w:val="single" w:color="000000" w:sz="8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969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keepLines/>
              <w:spacing w:before="0" w:after="160"/>
              <w:rPr>
                <w:rFonts w:ascii="Times New Roman" w:hAnsi="Times New Roman" w:cs="Times New Roman"/>
                <w:sz w:val="26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Calibri" w:cs="Times New Roman"/>
                <w:color w:val="000000"/>
                <w:sz w:val="26"/>
                <w:szCs w:val="26"/>
              </w:rPr>
              <w:t xml:space="preserve">Итоговый балл по ОО/отрасли</w:t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  <w:r/>
          </w:p>
        </w:tc>
      </w:tr>
      <w:tr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4501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keepLines/>
              <w:spacing w:before="0" w:after="160"/>
              <w:rPr>
                <w:rFonts w:ascii="Times New Roman" w:hAnsi="Times New Roman" w:cs="Times New Roman"/>
                <w:sz w:val="26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Calibri" w:cs="Times New Roman"/>
                <w:color w:val="000000"/>
                <w:sz w:val="26"/>
                <w:szCs w:val="26"/>
              </w:rPr>
              <w:t xml:space="preserve">МБОУ «Абайская ООШ»</w:t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969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keepLines/>
              <w:spacing w:before="0" w:after="160"/>
              <w:rPr>
                <w:rFonts w:ascii="Times New Roman" w:hAnsi="Times New Roman" w:cs="Times New Roman"/>
                <w:sz w:val="26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Calibri" w:cs="Times New Roman"/>
                <w:color w:val="000000"/>
                <w:sz w:val="26"/>
                <w:szCs w:val="26"/>
              </w:rPr>
              <w:t xml:space="preserve">82,2   / 84,8</w:t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  <w:r/>
          </w:p>
        </w:tc>
      </w:tr>
      <w:tr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4501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keepLines/>
              <w:spacing w:before="0" w:after="160"/>
              <w:rPr>
                <w:rFonts w:ascii="Times New Roman" w:hAnsi="Times New Roman" w:cs="Times New Roman"/>
                <w:sz w:val="26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Calibri" w:cs="Times New Roman"/>
                <w:color w:val="000000"/>
                <w:sz w:val="26"/>
                <w:szCs w:val="26"/>
              </w:rPr>
              <w:t xml:space="preserve">МБОУ «Банновская ООШ»</w:t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969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keepLines/>
              <w:spacing w:before="0" w:after="160"/>
              <w:rPr>
                <w:rFonts w:ascii="Times New Roman" w:hAnsi="Times New Roman" w:cs="Times New Roman"/>
                <w:sz w:val="26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Calibri" w:cs="Times New Roman"/>
                <w:color w:val="000000"/>
                <w:sz w:val="26"/>
                <w:szCs w:val="26"/>
              </w:rPr>
              <w:t xml:space="preserve">91,8   / 84,8</w:t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  <w:r/>
          </w:p>
        </w:tc>
      </w:tr>
      <w:tr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4501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keepLines/>
              <w:spacing w:before="0" w:after="160"/>
              <w:rPr>
                <w:rFonts w:ascii="Times New Roman" w:hAnsi="Times New Roman" w:cs="Times New Roman"/>
                <w:sz w:val="26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Calibri" w:cs="Times New Roman"/>
                <w:color w:val="000000"/>
                <w:sz w:val="26"/>
                <w:szCs w:val="26"/>
              </w:rPr>
              <w:t xml:space="preserve">МБОУ «Верх-Уймонская СОШ»</w:t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969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keepLines/>
              <w:spacing w:before="0" w:after="160"/>
              <w:rPr>
                <w:rFonts w:ascii="Times New Roman" w:hAnsi="Times New Roman" w:cs="Times New Roman"/>
                <w:sz w:val="26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Calibri" w:cs="Times New Roman"/>
                <w:color w:val="000000"/>
                <w:sz w:val="26"/>
                <w:szCs w:val="26"/>
              </w:rPr>
              <w:t xml:space="preserve">86,6    / 84,8</w:t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  <w:r/>
          </w:p>
        </w:tc>
      </w:tr>
      <w:tr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4501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keepLines/>
              <w:spacing w:before="0" w:after="160"/>
              <w:rPr>
                <w:rFonts w:ascii="Times New Roman" w:hAnsi="Times New Roman" w:cs="Times New Roman"/>
                <w:sz w:val="26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Calibri" w:cs="Times New Roman"/>
                <w:color w:val="000000"/>
                <w:sz w:val="26"/>
                <w:szCs w:val="26"/>
              </w:rPr>
              <w:t xml:space="preserve">МБОУ «Карагайская ООШ»</w:t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969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keepLines/>
              <w:spacing w:before="0" w:after="160"/>
              <w:rPr>
                <w:rFonts w:ascii="Times New Roman" w:hAnsi="Times New Roman" w:cs="Times New Roman"/>
                <w:sz w:val="26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Calibri" w:cs="Times New Roman"/>
                <w:color w:val="000000"/>
                <w:sz w:val="26"/>
                <w:szCs w:val="26"/>
              </w:rPr>
              <w:t xml:space="preserve">88,1    / 84,8</w:t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  <w:r/>
          </w:p>
        </w:tc>
      </w:tr>
      <w:tr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4501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keepLines/>
              <w:spacing w:before="0" w:after="160"/>
              <w:rPr>
                <w:rFonts w:ascii="Times New Roman" w:hAnsi="Times New Roman" w:cs="Times New Roman"/>
                <w:sz w:val="26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Calibri" w:cs="Times New Roman"/>
                <w:color w:val="000000"/>
                <w:sz w:val="26"/>
                <w:szCs w:val="26"/>
              </w:rPr>
              <w:t xml:space="preserve">МБОУ «Мультинская СОШ»</w:t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969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keepLines/>
              <w:spacing w:before="0" w:after="160"/>
              <w:rPr>
                <w:rFonts w:ascii="Times New Roman" w:hAnsi="Times New Roman" w:cs="Times New Roman"/>
                <w:sz w:val="26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Calibri" w:cs="Times New Roman"/>
                <w:color w:val="000000"/>
                <w:sz w:val="26"/>
                <w:szCs w:val="26"/>
              </w:rPr>
              <w:t xml:space="preserve">89,1    / 84,8</w:t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  <w:r/>
          </w:p>
        </w:tc>
      </w:tr>
      <w:tr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4501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keepLines/>
              <w:spacing w:before="0" w:after="160"/>
              <w:rPr>
                <w:rFonts w:ascii="Times New Roman" w:hAnsi="Times New Roman" w:cs="Times New Roman"/>
                <w:sz w:val="26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Calibri" w:cs="Times New Roman"/>
                <w:color w:val="000000"/>
                <w:sz w:val="26"/>
                <w:szCs w:val="26"/>
              </w:rPr>
              <w:t xml:space="preserve">МБОУ «Огневская СОШ»</w:t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969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keepLines/>
              <w:spacing w:before="0" w:after="160"/>
              <w:rPr>
                <w:rFonts w:ascii="Times New Roman" w:hAnsi="Times New Roman" w:cs="Times New Roman"/>
                <w:sz w:val="26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Calibri" w:cs="Times New Roman"/>
                <w:color w:val="000000"/>
                <w:sz w:val="26"/>
                <w:szCs w:val="26"/>
              </w:rPr>
              <w:t xml:space="preserve">85,4   / 84,8</w:t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  <w:r/>
          </w:p>
        </w:tc>
      </w:tr>
      <w:tr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4501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keepLines/>
              <w:spacing w:before="0" w:after="160"/>
              <w:rPr>
                <w:rFonts w:ascii="Times New Roman" w:hAnsi="Times New Roman" w:cs="Times New Roman"/>
                <w:sz w:val="26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Calibri" w:cs="Times New Roman"/>
                <w:color w:val="000000"/>
                <w:sz w:val="26"/>
                <w:szCs w:val="26"/>
              </w:rPr>
              <w:t xml:space="preserve">МБОУ «Тихоньская ООШ»</w:t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969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keepLines/>
              <w:spacing w:before="0" w:after="160"/>
              <w:rPr>
                <w:rFonts w:ascii="Times New Roman" w:hAnsi="Times New Roman" w:cs="Times New Roman"/>
                <w:sz w:val="26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Calibri" w:cs="Times New Roman"/>
                <w:color w:val="000000"/>
                <w:sz w:val="26"/>
                <w:szCs w:val="26"/>
              </w:rPr>
              <w:t xml:space="preserve">70,1   / 84,8</w:t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  <w:r/>
          </w:p>
        </w:tc>
      </w:tr>
    </w:tbl>
    <w:p>
      <w:pPr>
        <w:ind w:left="0" w:right="0" w:firstLine="0"/>
        <w:jc w:val="both"/>
        <w:keepLines/>
        <w:spacing w:before="0" w:after="160"/>
        <w:rPr>
          <w:rFonts w:ascii="Times New Roman" w:hAnsi="Times New Roman" w:cs="Times New Roman"/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Calibri" w:cs="Times New Roman"/>
          <w:color w:val="000000"/>
          <w:sz w:val="26"/>
          <w:szCs w:val="26"/>
        </w:rPr>
        <w:t xml:space="preserve">Основные замечания были по размещению информации на сайтах образовательных организаций, а также обеспечение в организациях условий доступности для инвалидов, а также проведение капитальных ремонтов школ и детских садов.</w:t>
      </w:r>
      <w:r>
        <w:rPr>
          <w:rFonts w:ascii="Times New Roman" w:hAnsi="Times New Roman" w:cs="Times New Roman"/>
          <w:sz w:val="26"/>
          <w:szCs w:val="26"/>
        </w:rPr>
      </w:r>
      <w:r/>
    </w:p>
    <w:p>
      <w:pPr>
        <w:ind w:left="0" w:right="0" w:firstLine="0"/>
        <w:jc w:val="both"/>
        <w:keepLines/>
        <w:spacing w:before="0" w:after="160"/>
        <w:rPr>
          <w:rFonts w:ascii="Times New Roman" w:hAnsi="Times New Roman" w:cs="Times New Roman"/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Calibri" w:cs="Times New Roman"/>
          <w:color w:val="000000"/>
          <w:sz w:val="26"/>
          <w:szCs w:val="26"/>
        </w:rPr>
        <w:t xml:space="preserve">Решением Общественного совета утверждены результаты независимой оценки качества, рекомендовано продолжить работу по привлечению активных пользователей сайтов, способствовать повышению информационной доступности образовательной организации для получателей у</w:t>
      </w:r>
      <w:r>
        <w:rPr>
          <w:rFonts w:ascii="Times New Roman" w:hAnsi="Times New Roman" w:eastAsia="Calibri" w:cs="Times New Roman"/>
          <w:color w:val="000000"/>
          <w:sz w:val="26"/>
          <w:szCs w:val="26"/>
        </w:rPr>
        <w:t xml:space="preserve">слуг; своевременно актуализировать и дополнять электронные сервисы образовательных организаций, продолжить работу по созданию доступной среды для маломобильных категорий населения.</w:t>
      </w:r>
      <w:r>
        <w:rPr>
          <w:rFonts w:ascii="Times New Roman" w:hAnsi="Times New Roman" w:cs="Times New Roman"/>
          <w:sz w:val="26"/>
          <w:szCs w:val="26"/>
        </w:rPr>
      </w:r>
      <w:r/>
    </w:p>
    <w:p>
      <w:pPr>
        <w:ind w:left="0" w:right="0" w:firstLine="709"/>
        <w:jc w:val="both"/>
        <w:spacing w:before="240" w:after="240"/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В 2022 г. среди организаций культуры охвачено в отч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етном периоде независимой оценкой качества 3 учреждения: МУАМО «Дом творчества и досуга». МУАМО «Межпоселенческая централизованная библиотечная система» и АНУК «Музей истории и культуры Уймонской долины», охват учреждений культуры независимой оценкой соста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вил 53,2 %. Средний балл по результатам проведенной оценки составил 83,14 баллов.  </w:t>
      </w:r>
      <w:r/>
    </w:p>
    <w:p>
      <w:pPr>
        <w:ind w:left="0" w:right="0" w:firstLine="709"/>
        <w:jc w:val="both"/>
        <w:spacing w:before="240" w:after="240"/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МУ АМО «Дом творчества и досуга» по результатам проведенной оценки получило 85,24 балла</w:t>
      </w:r>
      <w:r>
        <w:rPr>
          <w:rFonts w:ascii="Times New Roman" w:hAnsi="Times New Roman" w:eastAsia="Times New Roman" w:cs="Times New Roman"/>
          <w:color w:val="000000"/>
          <w:sz w:val="28"/>
          <w:highlight w:val="none"/>
        </w:rPr>
        <w:t xml:space="preserve">:</w:t>
      </w:r>
      <w:r>
        <w:rPr>
          <w:rFonts w:ascii="Times New Roman" w:hAnsi="Times New Roman" w:eastAsia="Times New Roman" w:cs="Times New Roman"/>
          <w:color w:val="000000"/>
          <w:sz w:val="28"/>
          <w:highlight w:val="none"/>
        </w:rPr>
      </w:r>
      <w:r/>
    </w:p>
    <w:p>
      <w:pPr>
        <w:ind w:left="0" w:right="0" w:firstLine="709"/>
        <w:jc w:val="both"/>
        <w:spacing w:before="0" w:after="0" w:line="65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Результаты анализа показателей, характеризующих общий критерий оценки открытости и доступности информации об организации (82,8%). С учетом вышеизложенного рекомендуем руководителю организации, организовать работу сайта учреждения, способствовать привлечени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ю активных пользователей, повышению информационной доступности организации для получателей услуг.</w:t>
      </w:r>
      <w:r/>
    </w:p>
    <w:p>
      <w:pPr>
        <w:ind w:left="0" w:right="0" w:firstLine="709"/>
        <w:jc w:val="both"/>
        <w:spacing w:before="0" w:after="0" w:line="65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Оценивая комфортность условий, в которых предоставляются услуги, 90% получателей услуг удовлетворены условиями пребывания в учреждении, уровнем предоставления дополнительных услуг, удобством пользования электронными сервисами, графиком работы. По критерию 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«Доступность услуг для инвалидов» оценка составила 58,8%, необходимо продолжить работу по повышению указанного показателя. Актуализировать паспорт доступности, предусмотреть соответствующие мероприятия по обеспечению доступной среды в плане развития учрежд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ения.  </w:t>
      </w:r>
      <w:r/>
    </w:p>
    <w:p>
      <w:pPr>
        <w:ind w:left="0" w:right="0" w:firstLine="708"/>
        <w:jc w:val="both"/>
        <w:spacing w:before="0" w:after="0" w:line="65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По мнению 98,6% получателей услуг, в учреждении работают доброжелательные, вежливые и компетентные сотрудники, общая удовлетворенность условиями оказания услуг организацией составляет 97%.</w:t>
      </w:r>
      <w:r/>
    </w:p>
    <w:p>
      <w:pPr>
        <w:ind w:left="0" w:right="0" w:firstLine="709"/>
        <w:jc w:val="both"/>
        <w:spacing w:before="240" w:after="240"/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МУАМО «Межпоселенческая централизованная библиотечная система» по результатам проведенной оценки получило 83,92 балла</w:t>
      </w:r>
      <w:r>
        <w:rPr>
          <w:rFonts w:ascii="Times New Roman" w:hAnsi="Times New Roman" w:eastAsia="Times New Roman" w:cs="Times New Roman"/>
          <w:color w:val="000000"/>
          <w:sz w:val="28"/>
          <w:highlight w:val="none"/>
        </w:rPr>
        <w:t xml:space="preserve">.</w:t>
      </w:r>
      <w:r>
        <w:rPr>
          <w:rFonts w:ascii="Times New Roman" w:hAnsi="Times New Roman" w:eastAsia="Times New Roman" w:cs="Times New Roman"/>
          <w:color w:val="000000"/>
          <w:sz w:val="28"/>
          <w:highlight w:val="none"/>
        </w:rPr>
      </w:r>
      <w:r/>
    </w:p>
    <w:p>
      <w:pPr>
        <w:ind w:left="0" w:right="0" w:firstLine="709"/>
        <w:jc w:val="both"/>
        <w:spacing w:before="0" w:after="0" w:line="65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Результаты анализа показателей, характеризующих общий критерий оценки открытости и доступности информации об организации (84,8%). С учетом вышеизложенного рекомендуем руководителю организации, организовать работу сайта учреждения, способствовать привлечени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ю активных пользователей, повышению информационной доступности организации для получателей услуг.</w:t>
      </w:r>
      <w:r/>
    </w:p>
    <w:p>
      <w:pPr>
        <w:ind w:left="0" w:right="0" w:firstLine="709"/>
        <w:jc w:val="both"/>
        <w:spacing w:before="0" w:after="0" w:line="65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Оценивая комфортность условий, в которых предоставляются услуги, 94,2% получателей услуг удовлетворены условиями пребывания в учреждении, уровнем предоставления дополнительных услуг, удобством пользования электронными сервисами, графиком работы. По критери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ю «Доступность услуг для инвалидов» оценка составила 52,3%, необходимо продолжить работу по повышению указанного показателя. Актуализировать паспорт доступности, предусмотреть соответствующие мероприятия по обеспечению доступной среды в плане развития учре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ждения.  </w:t>
      </w:r>
      <w:r/>
    </w:p>
    <w:p>
      <w:pPr>
        <w:ind w:left="0" w:right="0" w:firstLine="708"/>
        <w:jc w:val="both"/>
        <w:spacing w:before="0" w:after="0" w:line="65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По мнению 93,3% получателей услуг, в учреждении работают доброжелательные, вежливые и компетентные сотрудники, общая удовлетворенность условиями оказания услуг организацией составляет 95%.</w:t>
      </w:r>
      <w:r/>
    </w:p>
    <w:p>
      <w:pPr>
        <w:ind w:left="0" w:right="0" w:firstLine="709"/>
        <w:jc w:val="both"/>
        <w:spacing w:before="240" w:after="240"/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highlight w:val="none"/>
        </w:rPr>
        <w:t xml:space="preserve">АНУК «Музей истории и культуры Уймонской долины» 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 по результатам проведенной оценки получило 80,26 балла</w:t>
      </w:r>
      <w:r>
        <w:rPr>
          <w:rFonts w:ascii="Times New Roman" w:hAnsi="Times New Roman" w:eastAsia="Times New Roman" w:cs="Times New Roman"/>
          <w:color w:val="000000"/>
          <w:sz w:val="28"/>
          <w:highlight w:val="none"/>
        </w:rPr>
        <w:t xml:space="preserve">.</w:t>
      </w:r>
      <w:r>
        <w:rPr>
          <w:rFonts w:ascii="Times New Roman" w:hAnsi="Times New Roman" w:eastAsia="Times New Roman" w:cs="Times New Roman"/>
          <w:color w:val="000000"/>
          <w:sz w:val="28"/>
          <w:highlight w:val="none"/>
        </w:rPr>
      </w:r>
      <w:r/>
    </w:p>
    <w:p>
      <w:pPr>
        <w:ind w:left="0" w:right="0" w:firstLine="709"/>
        <w:jc w:val="both"/>
        <w:spacing w:before="0" w:after="0" w:line="65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Результаты анализа показателей, характеризующих общий критерий оценки открытости и доступности информации об организации (30,6%). С учетом вышеизложенного рекомендуем руководителю организации, организовать работу сайта учреждения, способствовать привлечени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ю активных пользователей, повышению информационной доступности организации для получателей услуг.</w:t>
      </w:r>
      <w:r/>
    </w:p>
    <w:p>
      <w:pPr>
        <w:ind w:left="0" w:right="0" w:firstLine="709"/>
        <w:jc w:val="both"/>
        <w:spacing w:before="0" w:after="0" w:line="65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Оценивая комфортность условий, в которых предоставляются услуги, 94% получателей услуг удовлетворены условиями пребывания в учреждении, уровнем предоставления дополнительных услуг, удобством пользования электронными сервисами, графиком работы. По критерию 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«Доступность услуг для инвалидов» оценка составила 53%, необходимо продолжить работу по повышению указанного показателя. Актуализировать паспорт доступности, предусмотреть соответствующие мероприятия по обеспечению доступной среды в плане развития учрежден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ия.  </w:t>
      </w:r>
      <w:r/>
    </w:p>
    <w:p>
      <w:pPr>
        <w:ind w:left="0" w:right="0" w:firstLine="708"/>
        <w:jc w:val="both"/>
        <w:spacing w:before="0" w:after="0" w:line="65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По мнению 94,2% получателей услуг, в учреждении работают доброжелательные, вежливые и компетентные сотрудники, общая удовлетворенность условиями оказания услуг организацией составляет 97,9%.</w:t>
      </w:r>
      <w:r>
        <w:rPr>
          <w:sz w:val="22"/>
        </w:rPr>
      </w:r>
      <w:r/>
    </w:p>
    <w:p>
      <w:pPr>
        <w:pStyle w:val="899"/>
        <w:ind w:left="0" w:firstLine="567"/>
        <w:jc w:val="both"/>
        <w:spacing w:after="0" w:line="240" w:lineRule="auto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 xml:space="preserve">в сфере социального обслуживания</w:t>
      </w:r>
      <w:r>
        <w:rPr>
          <w:rFonts w:ascii="Times New Roman" w:hAnsi="Times New Roman"/>
          <w:i/>
          <w:sz w:val="26"/>
          <w:szCs w:val="26"/>
        </w:rPr>
      </w:r>
      <w:r/>
    </w:p>
    <w:p>
      <w:pPr>
        <w:pStyle w:val="899"/>
        <w:ind w:left="0" w:firstLine="567"/>
        <w:jc w:val="both"/>
        <w:spacing w:after="0" w:line="240" w:lineRule="auto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</w:r>
      <w:r/>
    </w:p>
    <w:p>
      <w:pPr>
        <w:pStyle w:val="899"/>
        <w:ind w:left="0" w:firstLine="567"/>
        <w:jc w:val="both"/>
        <w:spacing w:after="0" w:line="240" w:lineRule="auto"/>
        <w:rPr>
          <w:rFonts w:ascii="Times New Roman" w:hAnsi="Times New Roman" w:cs="Times New Roman"/>
          <w:i/>
          <w:sz w:val="28"/>
          <w:szCs w:val="28"/>
          <w:highlight w:val="white"/>
        </w:rPr>
      </w:pPr>
      <w:r>
        <w:rPr>
          <w:rFonts w:ascii="Times New Roman" w:hAnsi="Times New Roman" w:cs="Times New Roman"/>
          <w:i/>
          <w:sz w:val="28"/>
          <w:szCs w:val="28"/>
          <w:highlight w:val="white"/>
        </w:rPr>
      </w:r>
      <w:r>
        <w:rPr>
          <w:rFonts w:ascii="Times New Roman" w:hAnsi="Times New Roman" w:eastAsia="Roboto" w:cs="Times New Roman"/>
          <w:color w:val="000000"/>
          <w:sz w:val="28"/>
          <w:szCs w:val="28"/>
          <w:highlight w:val="white"/>
        </w:rPr>
        <w:t xml:space="preserve">Независимая оценка качества условий оказания услуг муниципальными организациями в сфере социального обслуживания, расположенными на территориях соответствующих муниципальных образований и оказывающими услуги в указанных сферах за счет бюджетных ассигновани</w:t>
      </w:r>
      <w:r>
        <w:rPr>
          <w:rFonts w:ascii="Times New Roman" w:hAnsi="Times New Roman" w:eastAsia="Roboto" w:cs="Times New Roman"/>
          <w:color w:val="000000"/>
          <w:sz w:val="28"/>
          <w:szCs w:val="28"/>
          <w:highlight w:val="white"/>
        </w:rPr>
        <w:t xml:space="preserve">й бюджетов муниципальных образований не проводилась, в связи с тем, что в ведомстве района организаций социального обслуживания нет.</w:t>
      </w:r>
      <w:r>
        <w:rPr>
          <w:rFonts w:ascii="Times New Roman" w:hAnsi="Times New Roman" w:cs="Times New Roman"/>
          <w:sz w:val="28"/>
          <w:szCs w:val="28"/>
          <w:highlight w:val="white"/>
        </w:rPr>
      </w:r>
      <w:r/>
    </w:p>
    <w:p>
      <w:pPr>
        <w:pStyle w:val="899"/>
        <w:ind w:left="0" w:firstLine="567"/>
        <w:jc w:val="both"/>
        <w:spacing w:after="0" w:line="240" w:lineRule="auto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</w:r>
      <w:r/>
    </w:p>
    <w:p>
      <w:pPr>
        <w:pStyle w:val="899"/>
        <w:ind w:left="0" w:firstLine="567"/>
        <w:jc w:val="both"/>
        <w:spacing w:after="0" w:line="240" w:lineRule="auto"/>
        <w:rPr>
          <w:rFonts w:ascii="Times New Roman" w:hAnsi="Times New Roman"/>
          <w:bCs/>
          <w:i/>
          <w:sz w:val="26"/>
          <w:szCs w:val="26"/>
          <w:highlight w:val="none"/>
        </w:rPr>
      </w:pPr>
      <w:r>
        <w:rPr>
          <w:rFonts w:ascii="Times New Roman" w:hAnsi="Times New Roman"/>
          <w:i/>
          <w:sz w:val="26"/>
          <w:szCs w:val="26"/>
        </w:rPr>
        <w:t xml:space="preserve">в сфере охраны здоровья</w:t>
      </w:r>
      <w:r/>
    </w:p>
    <w:p>
      <w:pPr>
        <w:pStyle w:val="899"/>
        <w:ind w:left="0" w:firstLine="567"/>
        <w:jc w:val="both"/>
        <w:spacing w:after="0" w:line="240" w:lineRule="auto"/>
        <w:rPr>
          <w:rFonts w:ascii="Times New Roman" w:hAnsi="Times New Roman"/>
          <w:bCs/>
          <w:i/>
          <w:sz w:val="26"/>
          <w:szCs w:val="26"/>
        </w:rPr>
      </w:pPr>
      <w:r>
        <w:rPr>
          <w:rFonts w:ascii="Times New Roman" w:hAnsi="Times New Roman"/>
          <w:bCs/>
          <w:i/>
          <w:sz w:val="26"/>
          <w:szCs w:val="26"/>
        </w:rPr>
      </w:r>
      <w:r>
        <w:rPr>
          <w:rFonts w:ascii="Times New Roman" w:hAnsi="Times New Roman"/>
          <w:bCs/>
          <w:i/>
          <w:sz w:val="26"/>
          <w:szCs w:val="26"/>
        </w:rPr>
      </w:r>
      <w:r/>
    </w:p>
    <w:p>
      <w:pPr>
        <w:pStyle w:val="899"/>
        <w:ind w:left="0" w:firstLine="567"/>
        <w:jc w:val="both"/>
        <w:spacing w:after="0" w:line="240" w:lineRule="auto"/>
      </w:pPr>
      <w:r>
        <w:rPr>
          <w:rFonts w:ascii="Times New Roman" w:hAnsi="Times New Roman" w:cs="Times New Roman"/>
          <w:i/>
          <w:sz w:val="28"/>
          <w:szCs w:val="28"/>
          <w:highlight w:val="white"/>
        </w:rPr>
      </w:r>
      <w:r>
        <w:rPr>
          <w:rFonts w:ascii="Times New Roman" w:hAnsi="Times New Roman" w:eastAsia="Roboto" w:cs="Times New Roman"/>
          <w:color w:val="000000"/>
          <w:sz w:val="28"/>
          <w:szCs w:val="28"/>
          <w:highlight w:val="white"/>
        </w:rPr>
        <w:t xml:space="preserve">Независимая оценка качества условий оказания услуг муниципальными организациями в сфере охраны здоровья, расположенными на территориях соответствующих муниципальных образований и оказывающими услуги в указанных сферах за счет бюджетных ассигновани</w:t>
      </w:r>
      <w:r>
        <w:rPr>
          <w:rFonts w:ascii="Times New Roman" w:hAnsi="Times New Roman" w:eastAsia="Roboto" w:cs="Times New Roman"/>
          <w:color w:val="000000"/>
          <w:sz w:val="28"/>
          <w:szCs w:val="28"/>
          <w:highlight w:val="white"/>
        </w:rPr>
        <w:t xml:space="preserve">й бюджетов муниципальных образований не проводилась, в связи с тем, что в ведомстве района организаций </w:t>
      </w:r>
      <w:r>
        <w:rPr>
          <w:rFonts w:ascii="Times New Roman" w:hAnsi="Times New Roman" w:eastAsia="Roboto" w:cs="Times New Roman"/>
          <w:color w:val="000000"/>
          <w:sz w:val="28"/>
          <w:szCs w:val="28"/>
          <w:highlight w:val="white"/>
        </w:rPr>
        <w:t xml:space="preserve">по охране здоровья нет.</w:t>
      </w:r>
      <w:r>
        <w:rPr>
          <w:rFonts w:ascii="Times New Roman" w:hAnsi="Times New Roman" w:cs="Times New Roman"/>
          <w:i/>
          <w:sz w:val="28"/>
          <w:szCs w:val="28"/>
          <w:highlight w:val="white"/>
        </w:rPr>
      </w:r>
      <w:r/>
    </w:p>
    <w:p>
      <w:pPr>
        <w:pStyle w:val="899"/>
        <w:ind w:left="0" w:firstLine="567"/>
        <w:jc w:val="both"/>
        <w:spacing w:after="0" w:line="240" w:lineRule="auto"/>
        <w:rPr>
          <w:rFonts w:ascii="Times New Roman" w:hAnsi="Times New Roman" w:cs="Times New Roman"/>
          <w:bCs/>
          <w:sz w:val="28"/>
          <w:szCs w:val="28"/>
          <w:highlight w:val="white"/>
        </w:rPr>
      </w:pPr>
      <w:r>
        <w:rPr>
          <w:rFonts w:ascii="Times New Roman" w:hAnsi="Times New Roman"/>
          <w:i/>
          <w:sz w:val="26"/>
          <w:szCs w:val="26"/>
        </w:rPr>
      </w:r>
      <w:r>
        <w:rPr>
          <w:rFonts w:ascii="Times New Roman" w:hAnsi="Times New Roman"/>
          <w:i/>
          <w:sz w:val="26"/>
          <w:szCs w:val="26"/>
        </w:rPr>
      </w:r>
      <w:r/>
    </w:p>
    <w:p>
      <w:pPr>
        <w:pStyle w:val="899"/>
        <w:ind w:left="0" w:right="0" w:firstLine="0"/>
        <w:jc w:val="both"/>
        <w:spacing w:after="0" w:line="240" w:lineRule="auto"/>
        <w:rPr>
          <w:rFonts w:ascii="Times New Roman" w:hAnsi="Times New Roman"/>
          <w:bCs/>
          <w:i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  <w:highlight w:val="none"/>
        </w:rPr>
      </w:r>
      <w:r>
        <w:rPr>
          <w:rFonts w:ascii="Times New Roman" w:hAnsi="Times New Roman"/>
          <w:i/>
          <w:sz w:val="26"/>
          <w:szCs w:val="26"/>
          <w:highlight w:val="none"/>
        </w:rPr>
      </w:r>
      <w:r/>
    </w:p>
    <w:sectPr>
      <w:footnotePr/>
      <w:endnotePr/>
      <w:type w:val="nextPage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Roboto">
    <w:panose1 w:val="02000000000000000000"/>
  </w:font>
  <w:font w:name="Wingdings">
    <w:panose1 w:val="05010000000000000000"/>
  </w:font>
  <w:font w:name="Symbol">
    <w:panose1 w:val="05010000000000000000"/>
  </w:font>
  <w:font w:name="timesnewromanpsmt">
    <w:panose1 w:val="02020603050405020304"/>
  </w:font>
  <w:font w:name="Courier New">
    <w:panose1 w:val="02070309020205020404"/>
  </w:font>
  <w:font w:name="Verdana">
    <w:panose1 w:val="020B0604030504040204"/>
  </w:font>
  <w:font w:name="Cambria">
    <w:panose1 w:val="02040503050306020203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pStyle w:val="874"/>
        <w:ind w:left="1287" w:hanging="72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874"/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874"/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874"/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874"/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874"/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874"/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874"/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874"/>
        <w:ind w:left="6687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pStyle w:val="874"/>
        <w:ind w:left="927" w:hanging="360"/>
      </w:pPr>
      <w:rPr>
        <w:rFonts w:eastAsia="Times New Roman" w:cs="Times New Roman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pStyle w:val="874"/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874"/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874"/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874"/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874"/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874"/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874"/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874"/>
        <w:ind w:left="6687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874"/>
        <w:ind w:left="720" w:hanging="360"/>
        <w:tabs>
          <w:tab w:val="num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pStyle w:val="874"/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pStyle w:val="874"/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874"/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pStyle w:val="874"/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pStyle w:val="874"/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874"/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pStyle w:val="874"/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pStyle w:val="874"/>
        <w:ind w:left="6480" w:hanging="180"/>
        <w:tabs>
          <w:tab w:val="num" w:pos="6480" w:leader="none"/>
        </w:tabs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pStyle w:val="874"/>
        <w:ind w:left="92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874"/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874"/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874"/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874"/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874"/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874"/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874"/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874"/>
        <w:ind w:left="6687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pStyle w:val="874"/>
        <w:ind w:left="92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874"/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874"/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874"/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874"/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874"/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874"/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874"/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874"/>
        <w:ind w:left="6687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874"/>
        <w:ind w:left="90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874"/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874"/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874"/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874"/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874"/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874"/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874"/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874"/>
        <w:ind w:left="666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pStyle w:val="874"/>
        <w:ind w:left="90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874"/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874"/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874"/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874"/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874"/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874"/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874"/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874"/>
        <w:ind w:left="6660" w:hanging="180"/>
      </w:pPr>
    </w:lvl>
  </w:abstractNum>
  <w:abstractNum w:abstractNumId="7">
    <w:multiLevelType w:val="hybridMultilevel"/>
    <w:lvl w:ilvl="0">
      <w:start w:val="5"/>
      <w:numFmt w:val="upperRoman"/>
      <w:isLgl w:val="false"/>
      <w:suff w:val="tab"/>
      <w:lvlText w:val="%1."/>
      <w:lvlJc w:val="left"/>
      <w:pPr>
        <w:pStyle w:val="874"/>
        <w:ind w:left="1287" w:hanging="72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874"/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874"/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874"/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874"/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874"/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874"/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874"/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874"/>
        <w:ind w:left="6687" w:hanging="180"/>
      </w:p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874"/>
        <w:ind w:left="1429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pStyle w:val="874"/>
        <w:ind w:left="2149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874"/>
        <w:ind w:left="2869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874"/>
        <w:ind w:left="3589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874"/>
        <w:ind w:left="4309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874"/>
        <w:ind w:left="5029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874"/>
        <w:ind w:left="5749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874"/>
        <w:ind w:left="6469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874"/>
        <w:ind w:left="7189" w:hanging="360"/>
      </w:pPr>
      <w:rPr>
        <w:rFonts w:ascii="Wingdings" w:hAnsi="Wingdings"/>
      </w:r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1418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1418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</w:pPr>
      <w:rPr>
        <w:rFonts w:hint="default" w:ascii="Wingdings" w:hAnsi="Wingdings" w:eastAsia="Wingdings" w:cs="Wingdings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</w:pPr>
      <w:rPr>
        <w:rFonts w:hint="default" w:ascii="Wingdings" w:hAnsi="Wingdings" w:eastAsia="Wingdings" w:cs="Wingdings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</w:pPr>
      <w:rPr>
        <w:rFonts w:hint="default" w:ascii="Wingdings" w:hAnsi="Wingdings" w:eastAsia="Wingdings" w:cs="Wingdings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</w:pPr>
      <w:rPr>
        <w:rFonts w:hint="default" w:ascii="Wingdings" w:hAnsi="Wingdings" w:eastAsia="Wingdings" w:cs="Wingdings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1418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abstractNum w:abstractNumId="15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1418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abstractNum w:abstractNumId="1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</w:pPr>
      <w:rPr>
        <w:rFonts w:hint="default" w:ascii="Wingdings" w:hAnsi="Wingdings" w:eastAsia="Wingdings" w:cs="Wingdings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</w:pPr>
      <w:rPr>
        <w:rFonts w:hint="default" w:ascii="Wingdings" w:hAnsi="Wingdings" w:eastAsia="Wingdings" w:cs="Wingdings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</w:pPr>
      <w:rPr>
        <w:rFonts w:hint="default" w:ascii="Wingdings" w:hAnsi="Wingdings" w:eastAsia="Wingdings" w:cs="Wingdings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</w:pPr>
      <w:rPr>
        <w:rFonts w:hint="default" w:ascii="Wingdings" w:hAnsi="Wingdings" w:eastAsia="Wingdings" w:cs="Wingdings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7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1418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abstractNum w:abstractNumId="18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1418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abstractNum w:abstractNumId="19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</w:pPr>
      <w:rPr>
        <w:rFonts w:hint="default" w:ascii="Wingdings" w:hAnsi="Wingdings" w:eastAsia="Wingdings" w:cs="Wingdings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</w:pPr>
      <w:rPr>
        <w:rFonts w:hint="default" w:ascii="Wingdings" w:hAnsi="Wingdings" w:eastAsia="Wingdings" w:cs="Wingdings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</w:pPr>
      <w:rPr>
        <w:rFonts w:hint="default" w:ascii="Wingdings" w:hAnsi="Wingdings" w:eastAsia="Wingdings" w:cs="Wingdings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</w:pPr>
      <w:rPr>
        <w:rFonts w:hint="default" w:ascii="Wingdings" w:hAnsi="Wingdings" w:eastAsia="Wingdings" w:cs="Wingdings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</w:pPr>
      <w:rPr>
        <w:rFonts w:hint="default" w:ascii="Wingdings" w:hAnsi="Wingdings" w:eastAsia="Wingdings" w:cs="Wingdings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</w:pPr>
      <w:rPr>
        <w:rFonts w:hint="default" w:ascii="Wingdings" w:hAnsi="Wingdings" w:eastAsia="Wingdings" w:cs="Wingdings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</w:pPr>
      <w:rPr>
        <w:rFonts w:hint="default" w:ascii="Wingdings" w:hAnsi="Wingdings" w:eastAsia="Wingdings" w:cs="Wingdings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</w:pPr>
      <w:rPr>
        <w:rFonts w:hint="default" w:ascii="Wingdings" w:hAnsi="Wingdings" w:eastAsia="Wingdings" w:cs="Wingdings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</w:pPr>
      <w:rPr>
        <w:rFonts w:hint="default" w:ascii="Wingdings" w:hAnsi="Wingdings" w:eastAsia="Wingdings" w:cs="Wingdings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</w:pPr>
      <w:rPr>
        <w:rFonts w:hint="default" w:ascii="Wingdings" w:hAnsi="Wingdings" w:eastAsia="Wingdings" w:cs="Wingdings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</w:pPr>
      <w:rPr>
        <w:rFonts w:hint="default" w:ascii="Wingdings" w:hAnsi="Wingdings" w:eastAsia="Wingdings" w:cs="Wingdings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</w:pPr>
      <w:rPr>
        <w:rFonts w:hint="default" w:ascii="Wingdings" w:hAnsi="Wingdings" w:eastAsia="Wingdings" w:cs="Wingdings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</w:pPr>
      <w:rPr>
        <w:rFonts w:hint="default" w:ascii="Wingdings" w:hAnsi="Wingdings" w:eastAsia="Wingdings" w:cs="Wingdings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</w:pPr>
      <w:rPr>
        <w:rFonts w:hint="default" w:ascii="Wingdings" w:hAnsi="Wingdings" w:eastAsia="Wingdings" w:cs="Wingdings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</w:pPr>
      <w:rPr>
        <w:rFonts w:hint="default" w:ascii="Wingdings" w:hAnsi="Wingdings" w:eastAsia="Wingdings" w:cs="Wingdings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</w:pPr>
      <w:rPr>
        <w:rFonts w:hint="default" w:ascii="Wingdings" w:hAnsi="Wingdings" w:eastAsia="Wingdings" w:cs="Wingdings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</w:pPr>
      <w:rPr>
        <w:rFonts w:hint="default" w:ascii="Wingdings" w:hAnsi="Wingdings" w:eastAsia="Wingdings" w:cs="Wingdings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</w:pPr>
      <w:rPr>
        <w:rFonts w:hint="default" w:ascii="Wingdings" w:hAnsi="Wingdings" w:eastAsia="Wingdings" w:cs="Wingdings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</w:pPr>
      <w:rPr>
        <w:rFonts w:hint="default" w:ascii="Wingdings" w:hAnsi="Wingdings" w:eastAsia="Wingdings" w:cs="Wingdings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</w:pPr>
      <w:rPr>
        <w:rFonts w:hint="default" w:ascii="Wingdings" w:hAnsi="Wingdings" w:eastAsia="Wingdings" w:cs="Wingdings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4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1496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2216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936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656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76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96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816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536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256" w:hanging="360"/>
      </w:pPr>
      <w:rPr>
        <w:rFonts w:hint="default" w:ascii="Wingdings" w:hAnsi="Wingdings" w:eastAsia="Wingdings" w:cs="Wingdings"/>
      </w:rPr>
    </w:lvl>
  </w:abstractNum>
  <w:abstractNum w:abstractNumId="25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1496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2216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936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656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76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96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816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536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256" w:hanging="360"/>
      </w:pPr>
      <w:rPr>
        <w:rFonts w:hint="default" w:ascii="Wingdings" w:hAnsi="Wingdings" w:eastAsia="Wingdings" w:cs="Wingdings"/>
      </w:rPr>
    </w:lvl>
  </w:abstractNum>
  <w:abstractNum w:abstractNumId="26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1496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2216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936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656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76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96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816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536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256" w:hanging="360"/>
      </w:pPr>
      <w:rPr>
        <w:rFonts w:hint="default" w:ascii="Wingdings" w:hAnsi="Wingdings" w:eastAsia="Wingdings" w:cs="Wingdings"/>
      </w:rPr>
    </w:lvl>
  </w:abstractNum>
  <w:abstractNum w:abstractNumId="27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1496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2216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936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656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76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96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816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536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256" w:hanging="360"/>
      </w:pPr>
      <w:rPr>
        <w:rFonts w:hint="default" w:ascii="Wingdings" w:hAnsi="Wingdings" w:eastAsia="Wingdings" w:cs="Wingdings"/>
      </w:rPr>
    </w:lvl>
  </w:abstractNum>
  <w:abstractNum w:abstractNumId="28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1276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996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716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436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56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876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596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16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036" w:hanging="360"/>
      </w:pPr>
      <w:rPr>
        <w:rFonts w:hint="default" w:ascii="Wingdings" w:hAnsi="Wingdings" w:eastAsia="Wingdings" w:cs="Wingdings"/>
      </w:rPr>
    </w:lvl>
  </w:abstractNum>
  <w:abstractNum w:abstractNumId="29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1276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996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716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436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56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876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596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16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036" w:hanging="360"/>
      </w:pPr>
      <w:rPr>
        <w:rFonts w:hint="default" w:ascii="Wingdings" w:hAnsi="Wingdings" w:eastAsia="Wingdings" w:cs="Wingdings"/>
      </w:rPr>
    </w:lvl>
  </w:abstractNum>
  <w:abstractNum w:abstractNumId="30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09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num w:numId="1">
    <w:abstractNumId w:val="8"/>
  </w:num>
  <w:num w:numId="2">
    <w:abstractNumId w:val="2"/>
  </w:num>
  <w:num w:numId="3">
    <w:abstractNumId w:val="4"/>
  </w:num>
  <w:num w:numId="4">
    <w:abstractNumId w:val="0"/>
  </w:num>
  <w:num w:numId="5">
    <w:abstractNumId w:val="7"/>
  </w:num>
  <w:num w:numId="6">
    <w:abstractNumId w:val="6"/>
  </w:num>
  <w:num w:numId="7">
    <w:abstractNumId w:val="5"/>
  </w:num>
  <w:num w:numId="8">
    <w:abstractNumId w:val="3"/>
  </w:num>
  <w:num w:numId="9">
    <w:abstractNumId w:val="1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96">
    <w:name w:val="Heading 1"/>
    <w:basedOn w:val="874"/>
    <w:next w:val="874"/>
    <w:link w:val="697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97">
    <w:name w:val="Heading 1 Char"/>
    <w:link w:val="696"/>
    <w:uiPriority w:val="9"/>
    <w:rPr>
      <w:rFonts w:ascii="Arial" w:hAnsi="Arial" w:eastAsia="Arial" w:cs="Arial"/>
      <w:sz w:val="40"/>
      <w:szCs w:val="40"/>
    </w:rPr>
  </w:style>
  <w:style w:type="paragraph" w:styleId="698">
    <w:name w:val="Heading 2"/>
    <w:basedOn w:val="874"/>
    <w:next w:val="874"/>
    <w:link w:val="699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99">
    <w:name w:val="Heading 2 Char"/>
    <w:link w:val="698"/>
    <w:uiPriority w:val="9"/>
    <w:rPr>
      <w:rFonts w:ascii="Arial" w:hAnsi="Arial" w:eastAsia="Arial" w:cs="Arial"/>
      <w:sz w:val="34"/>
    </w:rPr>
  </w:style>
  <w:style w:type="paragraph" w:styleId="700">
    <w:name w:val="Heading 3"/>
    <w:basedOn w:val="874"/>
    <w:next w:val="874"/>
    <w:link w:val="70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01">
    <w:name w:val="Heading 3 Char"/>
    <w:link w:val="700"/>
    <w:uiPriority w:val="9"/>
    <w:rPr>
      <w:rFonts w:ascii="Arial" w:hAnsi="Arial" w:eastAsia="Arial" w:cs="Arial"/>
      <w:sz w:val="30"/>
      <w:szCs w:val="30"/>
    </w:rPr>
  </w:style>
  <w:style w:type="paragraph" w:styleId="702">
    <w:name w:val="Heading 4"/>
    <w:basedOn w:val="874"/>
    <w:next w:val="874"/>
    <w:link w:val="70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03">
    <w:name w:val="Heading 4 Char"/>
    <w:link w:val="702"/>
    <w:uiPriority w:val="9"/>
    <w:rPr>
      <w:rFonts w:ascii="Arial" w:hAnsi="Arial" w:eastAsia="Arial" w:cs="Arial"/>
      <w:b/>
      <w:bCs/>
      <w:sz w:val="26"/>
      <w:szCs w:val="26"/>
    </w:rPr>
  </w:style>
  <w:style w:type="paragraph" w:styleId="704">
    <w:name w:val="Heading 5"/>
    <w:basedOn w:val="874"/>
    <w:next w:val="874"/>
    <w:link w:val="70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05">
    <w:name w:val="Heading 5 Char"/>
    <w:link w:val="704"/>
    <w:uiPriority w:val="9"/>
    <w:rPr>
      <w:rFonts w:ascii="Arial" w:hAnsi="Arial" w:eastAsia="Arial" w:cs="Arial"/>
      <w:b/>
      <w:bCs/>
      <w:sz w:val="24"/>
      <w:szCs w:val="24"/>
    </w:rPr>
  </w:style>
  <w:style w:type="paragraph" w:styleId="706">
    <w:name w:val="Heading 6"/>
    <w:basedOn w:val="874"/>
    <w:next w:val="874"/>
    <w:link w:val="70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07">
    <w:name w:val="Heading 6 Char"/>
    <w:link w:val="706"/>
    <w:uiPriority w:val="9"/>
    <w:rPr>
      <w:rFonts w:ascii="Arial" w:hAnsi="Arial" w:eastAsia="Arial" w:cs="Arial"/>
      <w:b/>
      <w:bCs/>
      <w:sz w:val="22"/>
      <w:szCs w:val="22"/>
    </w:rPr>
  </w:style>
  <w:style w:type="paragraph" w:styleId="708">
    <w:name w:val="Heading 7"/>
    <w:basedOn w:val="874"/>
    <w:next w:val="874"/>
    <w:link w:val="70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09">
    <w:name w:val="Heading 7 Char"/>
    <w:link w:val="70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10">
    <w:name w:val="Heading 8"/>
    <w:basedOn w:val="874"/>
    <w:next w:val="874"/>
    <w:link w:val="71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11">
    <w:name w:val="Heading 8 Char"/>
    <w:link w:val="710"/>
    <w:uiPriority w:val="9"/>
    <w:rPr>
      <w:rFonts w:ascii="Arial" w:hAnsi="Arial" w:eastAsia="Arial" w:cs="Arial"/>
      <w:i/>
      <w:iCs/>
      <w:sz w:val="22"/>
      <w:szCs w:val="22"/>
    </w:rPr>
  </w:style>
  <w:style w:type="paragraph" w:styleId="712">
    <w:name w:val="Heading 9"/>
    <w:basedOn w:val="874"/>
    <w:next w:val="874"/>
    <w:link w:val="71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3">
    <w:name w:val="Heading 9 Char"/>
    <w:link w:val="712"/>
    <w:uiPriority w:val="9"/>
    <w:rPr>
      <w:rFonts w:ascii="Arial" w:hAnsi="Arial" w:eastAsia="Arial" w:cs="Arial"/>
      <w:i/>
      <w:iCs/>
      <w:sz w:val="21"/>
      <w:szCs w:val="21"/>
    </w:rPr>
  </w:style>
  <w:style w:type="paragraph" w:styleId="714">
    <w:name w:val="List Paragraph"/>
    <w:basedOn w:val="874"/>
    <w:uiPriority w:val="34"/>
    <w:qFormat/>
    <w:pPr>
      <w:contextualSpacing/>
      <w:ind w:left="720"/>
    </w:pPr>
  </w:style>
  <w:style w:type="paragraph" w:styleId="715">
    <w:name w:val="No Spacing"/>
    <w:uiPriority w:val="1"/>
    <w:qFormat/>
    <w:pPr>
      <w:spacing w:before="0" w:after="0" w:line="240" w:lineRule="auto"/>
    </w:pPr>
  </w:style>
  <w:style w:type="paragraph" w:styleId="716">
    <w:name w:val="Title"/>
    <w:basedOn w:val="874"/>
    <w:next w:val="874"/>
    <w:link w:val="71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17">
    <w:name w:val="Title Char"/>
    <w:link w:val="716"/>
    <w:uiPriority w:val="10"/>
    <w:rPr>
      <w:sz w:val="48"/>
      <w:szCs w:val="48"/>
    </w:rPr>
  </w:style>
  <w:style w:type="paragraph" w:styleId="718">
    <w:name w:val="Subtitle"/>
    <w:basedOn w:val="874"/>
    <w:next w:val="874"/>
    <w:link w:val="719"/>
    <w:uiPriority w:val="11"/>
    <w:qFormat/>
    <w:pPr>
      <w:spacing w:before="200" w:after="200"/>
    </w:pPr>
    <w:rPr>
      <w:sz w:val="24"/>
      <w:szCs w:val="24"/>
    </w:rPr>
  </w:style>
  <w:style w:type="character" w:styleId="719">
    <w:name w:val="Subtitle Char"/>
    <w:link w:val="718"/>
    <w:uiPriority w:val="11"/>
    <w:rPr>
      <w:sz w:val="24"/>
      <w:szCs w:val="24"/>
    </w:rPr>
  </w:style>
  <w:style w:type="paragraph" w:styleId="720">
    <w:name w:val="Quote"/>
    <w:basedOn w:val="874"/>
    <w:next w:val="874"/>
    <w:link w:val="721"/>
    <w:uiPriority w:val="29"/>
    <w:qFormat/>
    <w:pPr>
      <w:ind w:left="720" w:right="720"/>
    </w:pPr>
    <w:rPr>
      <w:i/>
    </w:rPr>
  </w:style>
  <w:style w:type="character" w:styleId="721">
    <w:name w:val="Quote Char"/>
    <w:link w:val="720"/>
    <w:uiPriority w:val="29"/>
    <w:rPr>
      <w:i/>
    </w:rPr>
  </w:style>
  <w:style w:type="paragraph" w:styleId="722">
    <w:name w:val="Intense Quote"/>
    <w:basedOn w:val="874"/>
    <w:next w:val="874"/>
    <w:link w:val="72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3">
    <w:name w:val="Intense Quote Char"/>
    <w:link w:val="722"/>
    <w:uiPriority w:val="30"/>
    <w:rPr>
      <w:i/>
    </w:rPr>
  </w:style>
  <w:style w:type="paragraph" w:styleId="724">
    <w:name w:val="Header"/>
    <w:basedOn w:val="874"/>
    <w:link w:val="72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25">
    <w:name w:val="Header Char"/>
    <w:link w:val="724"/>
    <w:uiPriority w:val="99"/>
  </w:style>
  <w:style w:type="paragraph" w:styleId="726">
    <w:name w:val="Footer"/>
    <w:basedOn w:val="874"/>
    <w:link w:val="72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27">
    <w:name w:val="Footer Char"/>
    <w:link w:val="726"/>
    <w:uiPriority w:val="99"/>
  </w:style>
  <w:style w:type="paragraph" w:styleId="728">
    <w:name w:val="Caption"/>
    <w:basedOn w:val="874"/>
    <w:next w:val="87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9">
    <w:name w:val="Caption Char"/>
    <w:basedOn w:val="728"/>
    <w:link w:val="726"/>
    <w:uiPriority w:val="99"/>
  </w:style>
  <w:style w:type="table" w:styleId="730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1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2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3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4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5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7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9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60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61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62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63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64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65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66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67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68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69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70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71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72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73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74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75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76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77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78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79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94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95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96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97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98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99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00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5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6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7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8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9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0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1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22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23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24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25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26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27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28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29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30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31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32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33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34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35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6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37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38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39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40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41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42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3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44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45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46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47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48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49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50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51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52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53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54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55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56">
    <w:name w:val="Hyperlink"/>
    <w:uiPriority w:val="99"/>
    <w:unhideWhenUsed/>
    <w:rPr>
      <w:color w:val="0000ff" w:themeColor="hyperlink"/>
      <w:u w:val="single"/>
    </w:rPr>
  </w:style>
  <w:style w:type="paragraph" w:styleId="857">
    <w:name w:val="footnote text"/>
    <w:basedOn w:val="874"/>
    <w:link w:val="858"/>
    <w:uiPriority w:val="99"/>
    <w:semiHidden/>
    <w:unhideWhenUsed/>
    <w:pPr>
      <w:spacing w:after="40" w:line="240" w:lineRule="auto"/>
    </w:pPr>
    <w:rPr>
      <w:sz w:val="18"/>
    </w:rPr>
  </w:style>
  <w:style w:type="character" w:styleId="858">
    <w:name w:val="Footnote Text Char"/>
    <w:link w:val="857"/>
    <w:uiPriority w:val="99"/>
    <w:rPr>
      <w:sz w:val="18"/>
    </w:rPr>
  </w:style>
  <w:style w:type="character" w:styleId="859">
    <w:name w:val="footnote reference"/>
    <w:uiPriority w:val="99"/>
    <w:unhideWhenUsed/>
    <w:rPr>
      <w:vertAlign w:val="superscript"/>
    </w:rPr>
  </w:style>
  <w:style w:type="paragraph" w:styleId="860">
    <w:name w:val="endnote text"/>
    <w:basedOn w:val="874"/>
    <w:link w:val="861"/>
    <w:uiPriority w:val="99"/>
    <w:semiHidden/>
    <w:unhideWhenUsed/>
    <w:pPr>
      <w:spacing w:after="0" w:line="240" w:lineRule="auto"/>
    </w:pPr>
    <w:rPr>
      <w:sz w:val="20"/>
    </w:rPr>
  </w:style>
  <w:style w:type="character" w:styleId="861">
    <w:name w:val="Endnote Text Char"/>
    <w:link w:val="860"/>
    <w:uiPriority w:val="99"/>
    <w:rPr>
      <w:sz w:val="20"/>
    </w:rPr>
  </w:style>
  <w:style w:type="character" w:styleId="862">
    <w:name w:val="endnote reference"/>
    <w:uiPriority w:val="99"/>
    <w:semiHidden/>
    <w:unhideWhenUsed/>
    <w:rPr>
      <w:vertAlign w:val="superscript"/>
    </w:rPr>
  </w:style>
  <w:style w:type="paragraph" w:styleId="863">
    <w:name w:val="toc 1"/>
    <w:basedOn w:val="874"/>
    <w:next w:val="874"/>
    <w:uiPriority w:val="39"/>
    <w:unhideWhenUsed/>
    <w:pPr>
      <w:ind w:left="0" w:right="0" w:firstLine="0"/>
      <w:spacing w:after="57"/>
    </w:pPr>
  </w:style>
  <w:style w:type="paragraph" w:styleId="864">
    <w:name w:val="toc 2"/>
    <w:basedOn w:val="874"/>
    <w:next w:val="874"/>
    <w:uiPriority w:val="39"/>
    <w:unhideWhenUsed/>
    <w:pPr>
      <w:ind w:left="283" w:right="0" w:firstLine="0"/>
      <w:spacing w:after="57"/>
    </w:pPr>
  </w:style>
  <w:style w:type="paragraph" w:styleId="865">
    <w:name w:val="toc 3"/>
    <w:basedOn w:val="874"/>
    <w:next w:val="874"/>
    <w:uiPriority w:val="39"/>
    <w:unhideWhenUsed/>
    <w:pPr>
      <w:ind w:left="567" w:right="0" w:firstLine="0"/>
      <w:spacing w:after="57"/>
    </w:pPr>
  </w:style>
  <w:style w:type="paragraph" w:styleId="866">
    <w:name w:val="toc 4"/>
    <w:basedOn w:val="874"/>
    <w:next w:val="874"/>
    <w:uiPriority w:val="39"/>
    <w:unhideWhenUsed/>
    <w:pPr>
      <w:ind w:left="850" w:right="0" w:firstLine="0"/>
      <w:spacing w:after="57"/>
    </w:pPr>
  </w:style>
  <w:style w:type="paragraph" w:styleId="867">
    <w:name w:val="toc 5"/>
    <w:basedOn w:val="874"/>
    <w:next w:val="874"/>
    <w:uiPriority w:val="39"/>
    <w:unhideWhenUsed/>
    <w:pPr>
      <w:ind w:left="1134" w:right="0" w:firstLine="0"/>
      <w:spacing w:after="57"/>
    </w:pPr>
  </w:style>
  <w:style w:type="paragraph" w:styleId="868">
    <w:name w:val="toc 6"/>
    <w:basedOn w:val="874"/>
    <w:next w:val="874"/>
    <w:uiPriority w:val="39"/>
    <w:unhideWhenUsed/>
    <w:pPr>
      <w:ind w:left="1417" w:right="0" w:firstLine="0"/>
      <w:spacing w:after="57"/>
    </w:pPr>
  </w:style>
  <w:style w:type="paragraph" w:styleId="869">
    <w:name w:val="toc 7"/>
    <w:basedOn w:val="874"/>
    <w:next w:val="874"/>
    <w:uiPriority w:val="39"/>
    <w:unhideWhenUsed/>
    <w:pPr>
      <w:ind w:left="1701" w:right="0" w:firstLine="0"/>
      <w:spacing w:after="57"/>
    </w:pPr>
  </w:style>
  <w:style w:type="paragraph" w:styleId="870">
    <w:name w:val="toc 8"/>
    <w:basedOn w:val="874"/>
    <w:next w:val="874"/>
    <w:uiPriority w:val="39"/>
    <w:unhideWhenUsed/>
    <w:pPr>
      <w:ind w:left="1984" w:right="0" w:firstLine="0"/>
      <w:spacing w:after="57"/>
    </w:pPr>
  </w:style>
  <w:style w:type="paragraph" w:styleId="871">
    <w:name w:val="toc 9"/>
    <w:basedOn w:val="874"/>
    <w:next w:val="874"/>
    <w:uiPriority w:val="39"/>
    <w:unhideWhenUsed/>
    <w:pPr>
      <w:ind w:left="2268" w:right="0" w:firstLine="0"/>
      <w:spacing w:after="57"/>
    </w:pPr>
  </w:style>
  <w:style w:type="paragraph" w:styleId="872">
    <w:name w:val="TOC Heading"/>
    <w:uiPriority w:val="39"/>
    <w:unhideWhenUsed/>
  </w:style>
  <w:style w:type="paragraph" w:styleId="873">
    <w:name w:val="table of figures"/>
    <w:basedOn w:val="874"/>
    <w:next w:val="874"/>
    <w:uiPriority w:val="99"/>
    <w:unhideWhenUsed/>
    <w:pPr>
      <w:spacing w:after="0" w:afterAutospacing="0"/>
    </w:pPr>
  </w:style>
  <w:style w:type="paragraph" w:styleId="874" w:default="1">
    <w:name w:val="Normal"/>
    <w:next w:val="874"/>
    <w:link w:val="874"/>
    <w:qFormat/>
    <w:rPr>
      <w:rFonts w:ascii="Times New Roman" w:hAnsi="Times New Roman" w:eastAsia="Times New Roman"/>
      <w:lang w:val="ru-RU" w:eastAsia="ar-SA" w:bidi="ar-SA"/>
    </w:rPr>
  </w:style>
  <w:style w:type="paragraph" w:styleId="875">
    <w:name w:val="Заголовок 1"/>
    <w:basedOn w:val="874"/>
    <w:next w:val="875"/>
    <w:link w:val="888"/>
    <w:uiPriority w:val="9"/>
    <w:qFormat/>
    <w:pPr>
      <w:spacing w:before="100" w:beforeAutospacing="1" w:after="100" w:afterAutospacing="1"/>
      <w:outlineLvl w:val="0"/>
    </w:pPr>
    <w:rPr>
      <w:b/>
      <w:bCs/>
      <w:sz w:val="48"/>
      <w:szCs w:val="48"/>
      <w:lang w:val="en-US" w:eastAsia="en-US"/>
    </w:rPr>
  </w:style>
  <w:style w:type="paragraph" w:styleId="876">
    <w:name w:val="Заголовок 2"/>
    <w:basedOn w:val="874"/>
    <w:next w:val="874"/>
    <w:link w:val="891"/>
    <w:uiPriority w:val="9"/>
    <w:semiHidden/>
    <w:unhideWhenUsed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en-US"/>
    </w:rPr>
  </w:style>
  <w:style w:type="character" w:styleId="877">
    <w:name w:val="Основной шрифт абзаца"/>
    <w:next w:val="877"/>
    <w:link w:val="874"/>
    <w:uiPriority w:val="1"/>
    <w:semiHidden/>
    <w:unhideWhenUsed/>
  </w:style>
  <w:style w:type="table" w:styleId="878">
    <w:name w:val="Обычная таблица"/>
    <w:next w:val="878"/>
    <w:link w:val="874"/>
    <w:uiPriority w:val="99"/>
    <w:semiHidden/>
    <w:unhideWhenUsed/>
    <w:qFormat/>
    <w:tblPr/>
  </w:style>
  <w:style w:type="numbering" w:styleId="879">
    <w:name w:val="Нет списка"/>
    <w:next w:val="879"/>
    <w:link w:val="874"/>
    <w:uiPriority w:val="99"/>
    <w:semiHidden/>
    <w:unhideWhenUsed/>
  </w:style>
  <w:style w:type="paragraph" w:styleId="880">
    <w:name w:val=" Знак"/>
    <w:basedOn w:val="874"/>
    <w:next w:val="880"/>
    <w:link w:val="874"/>
    <w:rPr>
      <w:rFonts w:ascii="Verdana" w:hAnsi="Verdana" w:cs="Verdana"/>
      <w:lang w:val="en-US" w:eastAsia="en-US"/>
    </w:rPr>
  </w:style>
  <w:style w:type="table" w:styleId="881">
    <w:name w:val="Сетка таблицы"/>
    <w:basedOn w:val="878"/>
    <w:next w:val="881"/>
    <w:link w:val="874"/>
    <w:uiPriority w:val="59"/>
    <w:tblPr/>
  </w:style>
  <w:style w:type="paragraph" w:styleId="882">
    <w:name w:val="Обычный (веб)"/>
    <w:basedOn w:val="874"/>
    <w:next w:val="882"/>
    <w:link w:val="874"/>
    <w:uiPriority w:val="99"/>
    <w:semiHidden/>
    <w:unhideWhenUsed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styleId="883">
    <w:name w:val="Абзац списка"/>
    <w:basedOn w:val="874"/>
    <w:next w:val="883"/>
    <w:link w:val="894"/>
    <w:uiPriority w:val="99"/>
    <w:qFormat/>
    <w:pPr>
      <w:contextualSpacing/>
      <w:ind w:left="720"/>
      <w:spacing w:after="200" w:line="276" w:lineRule="auto"/>
    </w:pPr>
    <w:rPr>
      <w:rFonts w:ascii="Calibri" w:hAnsi="Calibri" w:eastAsia="Calibri"/>
      <w:sz w:val="22"/>
      <w:szCs w:val="22"/>
      <w:lang w:val="en-US" w:eastAsia="en-US"/>
    </w:rPr>
  </w:style>
  <w:style w:type="paragraph" w:styleId="884">
    <w:name w:val="ConsPlusNonformat"/>
    <w:next w:val="884"/>
    <w:link w:val="874"/>
    <w:pPr>
      <w:widowControl w:val="off"/>
    </w:pPr>
    <w:rPr>
      <w:rFonts w:ascii="Courier New" w:hAnsi="Courier New" w:eastAsia="Times New Roman" w:cs="Courier New"/>
      <w:lang w:val="ru-RU" w:eastAsia="ru-RU" w:bidi="ar-SA"/>
    </w:rPr>
  </w:style>
  <w:style w:type="paragraph" w:styleId="885">
    <w:name w:val="Без интервала"/>
    <w:next w:val="885"/>
    <w:link w:val="874"/>
    <w:uiPriority w:val="99"/>
    <w:qFormat/>
    <w:rPr>
      <w:rFonts w:eastAsia="Times New Roman"/>
      <w:sz w:val="22"/>
      <w:szCs w:val="22"/>
      <w:lang w:val="ru-RU" w:eastAsia="ru-RU" w:bidi="ar-SA"/>
    </w:rPr>
  </w:style>
  <w:style w:type="character" w:styleId="886">
    <w:name w:val="apple-converted-space"/>
    <w:basedOn w:val="877"/>
    <w:next w:val="886"/>
    <w:link w:val="874"/>
  </w:style>
  <w:style w:type="character" w:styleId="887">
    <w:name w:val="apple-style-span"/>
    <w:basedOn w:val="877"/>
    <w:next w:val="887"/>
    <w:link w:val="874"/>
  </w:style>
  <w:style w:type="character" w:styleId="888">
    <w:name w:val="Заголовок 1 Знак"/>
    <w:next w:val="888"/>
    <w:link w:val="875"/>
    <w:uiPriority w:val="9"/>
    <w:rPr>
      <w:rFonts w:ascii="Times New Roman" w:hAnsi="Times New Roman" w:eastAsia="Times New Roman"/>
      <w:b/>
      <w:bCs/>
      <w:sz w:val="48"/>
      <w:szCs w:val="48"/>
    </w:rPr>
  </w:style>
  <w:style w:type="paragraph" w:styleId="889">
    <w:name w:val="ConsPlusNormal"/>
    <w:next w:val="889"/>
    <w:link w:val="874"/>
    <w:pPr>
      <w:ind w:firstLine="720"/>
      <w:widowControl w:val="off"/>
    </w:pPr>
    <w:rPr>
      <w:rFonts w:ascii="Arial" w:hAnsi="Arial" w:eastAsia="Times New Roman" w:cs="Arial"/>
      <w:lang w:val="ru-RU" w:eastAsia="ru-RU" w:bidi="ar-SA"/>
    </w:rPr>
  </w:style>
  <w:style w:type="character" w:styleId="890">
    <w:name w:val="fontstyle01"/>
    <w:next w:val="890"/>
    <w:link w:val="874"/>
    <w:rPr>
      <w:rFonts w:ascii="TimesNewRomanPSMT" w:hAnsi="TimesNewRomanPSMT"/>
      <w:color w:val="000000"/>
      <w:sz w:val="28"/>
      <w:szCs w:val="28"/>
    </w:rPr>
  </w:style>
  <w:style w:type="character" w:styleId="891">
    <w:name w:val="Заголовок 2 Знак"/>
    <w:next w:val="891"/>
    <w:link w:val="876"/>
    <w:uiPriority w:val="9"/>
    <w:semiHidden/>
    <w:rPr>
      <w:rFonts w:ascii="Cambria" w:hAnsi="Cambria" w:eastAsia="Times New Roman" w:cs="Times New Roman"/>
      <w:b/>
      <w:bCs/>
      <w:i/>
      <w:iCs/>
      <w:sz w:val="28"/>
      <w:szCs w:val="28"/>
      <w:lang w:eastAsia="ar-SA"/>
    </w:rPr>
  </w:style>
  <w:style w:type="paragraph" w:styleId="892">
    <w:name w:val="Основной текст"/>
    <w:basedOn w:val="874"/>
    <w:next w:val="892"/>
    <w:link w:val="893"/>
    <w:uiPriority w:val="99"/>
    <w:pPr>
      <w:spacing w:after="120"/>
    </w:pPr>
    <w:rPr>
      <w:sz w:val="24"/>
      <w:szCs w:val="24"/>
      <w:lang w:val="en-US"/>
    </w:rPr>
  </w:style>
  <w:style w:type="character" w:styleId="893">
    <w:name w:val="Основной текст Знак"/>
    <w:next w:val="893"/>
    <w:link w:val="892"/>
    <w:uiPriority w:val="99"/>
    <w:rPr>
      <w:rFonts w:ascii="Times New Roman" w:hAnsi="Times New Roman" w:eastAsia="Times New Roman"/>
      <w:sz w:val="24"/>
      <w:szCs w:val="24"/>
      <w:lang w:val="en-US" w:eastAsia="ar-SA"/>
    </w:rPr>
  </w:style>
  <w:style w:type="character" w:styleId="894">
    <w:name w:val="Абзац списка Знак"/>
    <w:next w:val="894"/>
    <w:link w:val="883"/>
    <w:uiPriority w:val="99"/>
    <w:rPr>
      <w:sz w:val="22"/>
      <w:szCs w:val="22"/>
      <w:lang w:eastAsia="en-US"/>
    </w:rPr>
  </w:style>
  <w:style w:type="paragraph" w:styleId="895">
    <w:name w:val="Название"/>
    <w:basedOn w:val="874"/>
    <w:next w:val="895"/>
    <w:link w:val="896"/>
    <w:qFormat/>
    <w:pPr>
      <w:jc w:val="center"/>
    </w:pPr>
    <w:rPr>
      <w:sz w:val="28"/>
      <w:lang w:val="en-US" w:eastAsia="en-US"/>
    </w:rPr>
  </w:style>
  <w:style w:type="character" w:styleId="896">
    <w:name w:val="Название Знак"/>
    <w:next w:val="896"/>
    <w:link w:val="895"/>
    <w:rPr>
      <w:rFonts w:ascii="Times New Roman" w:hAnsi="Times New Roman" w:eastAsia="Times New Roman"/>
      <w:sz w:val="28"/>
    </w:rPr>
  </w:style>
  <w:style w:type="paragraph" w:styleId="897">
    <w:name w:val="Основной текст 2"/>
    <w:basedOn w:val="874"/>
    <w:next w:val="897"/>
    <w:link w:val="898"/>
    <w:semiHidden/>
    <w:pPr>
      <w:spacing w:after="120" w:line="480" w:lineRule="auto"/>
    </w:pPr>
    <w:rPr>
      <w:rFonts w:ascii="Calibri" w:hAnsi="Calibri"/>
      <w:sz w:val="22"/>
      <w:szCs w:val="22"/>
      <w:lang w:val="en-US" w:eastAsia="en-US"/>
    </w:rPr>
  </w:style>
  <w:style w:type="character" w:styleId="898">
    <w:name w:val="Основной текст 2 Знак"/>
    <w:next w:val="898"/>
    <w:link w:val="897"/>
    <w:semiHidden/>
    <w:rPr>
      <w:rFonts w:eastAsia="Times New Roman"/>
      <w:sz w:val="22"/>
      <w:szCs w:val="22"/>
    </w:rPr>
  </w:style>
  <w:style w:type="paragraph" w:styleId="899">
    <w:name w:val="Абзац списка1"/>
    <w:basedOn w:val="874"/>
    <w:next w:val="899"/>
    <w:link w:val="874"/>
    <w:pPr>
      <w:contextualSpacing/>
      <w:ind w:left="720"/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styleId="900">
    <w:name w:val="Гиперссылка"/>
    <w:next w:val="900"/>
    <w:link w:val="874"/>
    <w:uiPriority w:val="99"/>
    <w:semiHidden/>
    <w:unhideWhenUsed/>
    <w:rPr>
      <w:rFonts w:ascii="Times New Roman" w:hAnsi="Times New Roman" w:cs="Times New Roman"/>
      <w:color w:val="0000ff"/>
      <w:u w:val="single"/>
    </w:rPr>
  </w:style>
  <w:style w:type="character" w:styleId="901" w:default="1">
    <w:name w:val="Default Paragraph Font"/>
    <w:uiPriority w:val="1"/>
    <w:semiHidden/>
    <w:unhideWhenUsed/>
  </w:style>
  <w:style w:type="numbering" w:styleId="902" w:default="1">
    <w:name w:val="No List"/>
    <w:uiPriority w:val="99"/>
    <w:semiHidden/>
    <w:unhideWhenUsed/>
  </w:style>
  <w:style w:type="table" w:styleId="903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yperlink" Target="http://verh-uimo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R7-Office/7.2.1.14</Application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ПАрус</dc:creator>
  <cp:lastModifiedBy>Кононова Лариса</cp:lastModifiedBy>
  <cp:revision>43</cp:revision>
  <dcterms:created xsi:type="dcterms:W3CDTF">2017-04-27T05:36:00Z</dcterms:created>
  <dcterms:modified xsi:type="dcterms:W3CDTF">2023-04-28T07:24:38Z</dcterms:modified>
  <cp:version>1048576</cp:version>
</cp:coreProperties>
</file>